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jc w:val="left"/>
      </w:pPr>
      <w:r>
        <w:rPr>
          <w:b/>
          <w:bCs/>
          <w:color w:val="000000"/>
          <w:sz w:val="34"/>
          <w:szCs w:val="34"/>
        </w:rPr>
        <w:t xml:space="preserve">Documentation review and SOP worksheet</w:t>
      </w:r>
    </w:p>
    <w:p>
      <w:pPr>
        <w:spacing w:after="160"/>
      </w:pPr>
      <w:r>
        <w:rPr>
          <w:color w:val="444444"/>
          <w:sz w:val="18"/>
          <w:szCs w:val="18"/>
        </w:rPr>
        <w:t xml:space="preserve">Define a review cycle, keep unknown statuses visible and assign follow-up with evidence.</w:t>
      </w:r>
    </w:p>
    <w:tbl>
      <w:tblPr>
        <w:tblW w:type="dxa" w:w="1065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552"/>
        <w:gridCol w:w="3552"/>
        <w:gridCol w:w="3552"/>
      </w:tblGrid>
      <w:tr>
        <w:trPr>
          <w:cantSplit/>
        </w:trPr>
        <w:tc>
          <w:tcPr>
            <w:tcW w:type="pct" w:w="33%"/>
            <w:tcBorders>
              <w:top w:val="none" w:color="FFFFFF" w:sz="0"/>
              <w:left w:val="none" w:color="FFFFFF" w:sz="0"/>
              <w:bottom w:val="single" w:color="555555" w:sz="6"/>
              <w:right w:val="none" w:color="FFFFFF" w:sz="0"/>
            </w:tcBorders>
          </w:tcPr>
          <w:p>
            <w:r>
              <w:rPr>
                <w:color w:val="333333"/>
                <w:sz w:val="16"/>
                <w:szCs w:val="16"/>
              </w:rPr>
              <w:t xml:space="preserve">Purpose / record type</w:t>
            </w:r>
          </w:p>
          <w:p>
            <w:pPr>
              <w:spacing w:line="420"/>
            </w:pPr>
          </w:p>
        </w:tc>
        <w:tc>
          <w:tcPr>
            <w:tcW w:type="pct" w:w="33%"/>
            <w:tcBorders>
              <w:top w:val="none" w:color="FFFFFF" w:sz="0"/>
              <w:left w:val="none" w:color="FFFFFF" w:sz="0"/>
              <w:bottom w:val="single" w:color="555555" w:sz="6"/>
              <w:right w:val="none" w:color="FFFFFF" w:sz="0"/>
            </w:tcBorders>
          </w:tcPr>
          <w:p>
            <w:r>
              <w:rPr>
                <w:color w:val="333333"/>
                <w:sz w:val="16"/>
                <w:szCs w:val="16"/>
              </w:rPr>
              <w:t xml:space="preserve">Reviewer role</w:t>
            </w:r>
          </w:p>
          <w:p>
            <w:pPr>
              <w:spacing w:line="420"/>
            </w:pPr>
          </w:p>
        </w:tc>
        <w:tc>
          <w:tcPr>
            <w:tcW w:type="pct" w:w="33%"/>
            <w:tcBorders>
              <w:top w:val="none" w:color="FFFFFF" w:sz="0"/>
              <w:left w:val="none" w:color="FFFFFF" w:sz="0"/>
              <w:bottom w:val="single" w:color="555555" w:sz="6"/>
              <w:right w:val="none" w:color="FFFFFF" w:sz="0"/>
            </w:tcBorders>
          </w:tcPr>
          <w:p>
            <w:r>
              <w:rPr>
                <w:color w:val="333333"/>
                <w:sz w:val="16"/>
                <w:szCs w:val="16"/>
              </w:rPr>
              <w:t xml:space="preserve">Sample selection method</w:t>
            </w:r>
          </w:p>
          <w:p>
            <w:pPr>
              <w:spacing w:line="420"/>
            </w:pPr>
          </w:p>
        </w:tc>
      </w:tr>
    </w:tbl>
    <w:p>
      <w:pPr>
        <w:spacing w:after="60"/>
      </w:pPr>
    </w:p>
    <w:p>
      <w:pPr>
        <w:spacing w:after="100" w:before="100"/>
      </w:pPr>
      <w:r>
        <w:rPr>
          <w:color w:val="333333"/>
          <w:sz w:val="17"/>
          <w:szCs w:val="17"/>
        </w:rPr>
        <w:t xml:space="preserve">Define each item before review. Record complete, incomplete, not reviewed, not applicable with a reason, or missing entry. These are organizational states, not a compliance score.</w:t>
      </w:r>
    </w:p>
    <w:p>
      <w:pPr>
        <w:keepNext/>
        <w:spacing w:after="60" w:before="240"/>
      </w:pPr>
      <w:r>
        <w:rPr>
          <w:b/>
          <w:bCs/>
          <w:sz w:val="22"/>
          <w:szCs w:val="22"/>
        </w:rPr>
        <w:t xml:space="preserve">Clinic-defined item definitions</w:t>
      </w:r>
    </w:p>
    <w:tbl>
      <w:tblPr>
        <w:tblW w:type="dxa" w:w="1065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66"/>
        <w:gridCol w:w="2664"/>
        <w:gridCol w:w="2664"/>
        <w:gridCol w:w="2131"/>
        <w:gridCol w:w="2131"/>
      </w:tblGrid>
      <w:tr>
        <w:trPr>
          <w:cantSplit/>
          <w:tblHeader/>
        </w:trPr>
        <w:tc>
          <w:tcPr>
            <w:tcW w:type="pct" w:w="10%"/>
            <w:tcBorders>
              <w:top w:val="single" w:color="555555" w:sz="6"/>
              <w:left w:val="single" w:color="555555" w:sz="6"/>
              <w:bottom w:val="single" w:color="555555" w:sz="6"/>
              <w:right w:val="single" w:color="555555" w:sz="6"/>
            </w:tcBorders>
            <w:shd w:fill="EEF0F2" w:color="auto" w:val="clear"/>
          </w:tcPr>
          <w:p>
            <w:r>
              <w:rPr>
                <w:b/>
                <w:bCs/>
                <w:sz w:val="16"/>
                <w:szCs w:val="16"/>
              </w:rPr>
              <w:t xml:space="preserve">Item ref</w:t>
            </w:r>
          </w:p>
        </w:tc>
        <w:tc>
          <w:tcPr>
            <w:tcW w:type="pct" w:w="25%"/>
            <w:tcBorders>
              <w:top w:val="single" w:color="555555" w:sz="6"/>
              <w:left w:val="single" w:color="555555" w:sz="6"/>
              <w:bottom w:val="single" w:color="555555" w:sz="6"/>
              <w:right w:val="single" w:color="555555" w:sz="6"/>
            </w:tcBorders>
            <w:shd w:fill="EEF0F2" w:color="auto" w:val="clear"/>
          </w:tcPr>
          <w:p>
            <w:r>
              <w:rPr>
                <w:b/>
                <w:bCs/>
                <w:sz w:val="16"/>
                <w:szCs w:val="16"/>
              </w:rPr>
              <w:t xml:space="preserve">Evidence question</w:t>
            </w:r>
          </w:p>
        </w:tc>
        <w:tc>
          <w:tcPr>
            <w:tcW w:type="pct" w:w="25%"/>
            <w:tcBorders>
              <w:top w:val="single" w:color="555555" w:sz="6"/>
              <w:left w:val="single" w:color="555555" w:sz="6"/>
              <w:bottom w:val="single" w:color="555555" w:sz="6"/>
              <w:right w:val="single" w:color="555555" w:sz="6"/>
            </w:tcBorders>
            <w:shd w:fill="EEF0F2" w:color="auto" w:val="clear"/>
          </w:tcPr>
          <w:p>
            <w:r>
              <w:rPr>
                <w:b/>
                <w:bCs/>
                <w:sz w:val="16"/>
                <w:szCs w:val="16"/>
              </w:rPr>
              <w:t xml:space="preserve">Evidence to inspect</w:t>
            </w:r>
          </w:p>
        </w:tc>
        <w:tc>
          <w:tcPr>
            <w:tcW w:type="pct" w:w="20%"/>
            <w:tcBorders>
              <w:top w:val="single" w:color="555555" w:sz="6"/>
              <w:left w:val="single" w:color="555555" w:sz="6"/>
              <w:bottom w:val="single" w:color="555555" w:sz="6"/>
              <w:right w:val="single" w:color="555555" w:sz="6"/>
            </w:tcBorders>
            <w:shd w:fill="EEF0F2" w:color="auto" w:val="clear"/>
          </w:tcPr>
          <w:p>
            <w:r>
              <w:rPr>
                <w:b/>
                <w:bCs/>
                <w:sz w:val="16"/>
                <w:szCs w:val="16"/>
              </w:rPr>
              <w:t xml:space="preserve">Applicability rule</w:t>
            </w:r>
          </w:p>
        </w:tc>
        <w:tc>
          <w:tcPr>
            <w:tcW w:type="pct" w:w="20%"/>
            <w:tcBorders>
              <w:top w:val="single" w:color="555555" w:sz="6"/>
              <w:left w:val="single" w:color="555555" w:sz="6"/>
              <w:bottom w:val="single" w:color="555555" w:sz="6"/>
              <w:right w:val="single" w:color="555555" w:sz="6"/>
            </w:tcBorders>
            <w:shd w:fill="EEF0F2" w:color="auto" w:val="clear"/>
          </w:tcPr>
          <w:p>
            <w:r>
              <w:rPr>
                <w:b/>
                <w:bCs/>
                <w:sz w:val="16"/>
                <w:szCs w:val="16"/>
              </w:rPr>
              <w:t xml:space="preserve">Source / version / scope</w:t>
            </w:r>
          </w:p>
        </w:tc>
      </w:tr>
      <w:tr>
        <w:trPr>
          <w:cantSplit/>
          <w:trHeight w:val="864" w:hRule="atLeast"/>
        </w:trPr>
        <w:tc>
          <w:tcPr>
            <w:tcW w:type="pct" w:w="10%"/>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0%"/>
            <w:tcBorders>
              <w:top w:val="single" w:color="555555" w:sz="6"/>
              <w:left w:val="single" w:color="555555" w:sz="6"/>
              <w:bottom w:val="single" w:color="555555" w:sz="6"/>
              <w:right w:val="single" w:color="555555" w:sz="6"/>
            </w:tcBorders>
          </w:tcPr>
          <w:p/>
        </w:tc>
        <w:tc>
          <w:tcPr>
            <w:tcW w:type="pct" w:w="20%"/>
            <w:tcBorders>
              <w:top w:val="single" w:color="555555" w:sz="6"/>
              <w:left w:val="single" w:color="555555" w:sz="6"/>
              <w:bottom w:val="single" w:color="555555" w:sz="6"/>
              <w:right w:val="single" w:color="555555" w:sz="6"/>
            </w:tcBorders>
          </w:tcPr>
          <w:p/>
        </w:tc>
      </w:tr>
      <w:tr>
        <w:trPr>
          <w:cantSplit/>
          <w:trHeight w:val="864" w:hRule="atLeast"/>
        </w:trPr>
        <w:tc>
          <w:tcPr>
            <w:tcW w:type="pct" w:w="10%"/>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0%"/>
            <w:tcBorders>
              <w:top w:val="single" w:color="555555" w:sz="6"/>
              <w:left w:val="single" w:color="555555" w:sz="6"/>
              <w:bottom w:val="single" w:color="555555" w:sz="6"/>
              <w:right w:val="single" w:color="555555" w:sz="6"/>
            </w:tcBorders>
          </w:tcPr>
          <w:p/>
        </w:tc>
        <w:tc>
          <w:tcPr>
            <w:tcW w:type="pct" w:w="20%"/>
            <w:tcBorders>
              <w:top w:val="single" w:color="555555" w:sz="6"/>
              <w:left w:val="single" w:color="555555" w:sz="6"/>
              <w:bottom w:val="single" w:color="555555" w:sz="6"/>
              <w:right w:val="single" w:color="555555" w:sz="6"/>
            </w:tcBorders>
          </w:tcPr>
          <w:p/>
        </w:tc>
      </w:tr>
      <w:tr>
        <w:trPr>
          <w:cantSplit/>
          <w:trHeight w:val="864" w:hRule="atLeast"/>
        </w:trPr>
        <w:tc>
          <w:tcPr>
            <w:tcW w:type="pct" w:w="10%"/>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0%"/>
            <w:tcBorders>
              <w:top w:val="single" w:color="555555" w:sz="6"/>
              <w:left w:val="single" w:color="555555" w:sz="6"/>
              <w:bottom w:val="single" w:color="555555" w:sz="6"/>
              <w:right w:val="single" w:color="555555" w:sz="6"/>
            </w:tcBorders>
          </w:tcPr>
          <w:p/>
        </w:tc>
        <w:tc>
          <w:tcPr>
            <w:tcW w:type="pct" w:w="20%"/>
            <w:tcBorders>
              <w:top w:val="single" w:color="555555" w:sz="6"/>
              <w:left w:val="single" w:color="555555" w:sz="6"/>
              <w:bottom w:val="single" w:color="555555" w:sz="6"/>
              <w:right w:val="single" w:color="555555" w:sz="6"/>
            </w:tcBorders>
          </w:tcPr>
          <w:p/>
        </w:tc>
      </w:tr>
      <w:tr>
        <w:trPr>
          <w:cantSplit/>
          <w:trHeight w:val="864" w:hRule="atLeast"/>
        </w:trPr>
        <w:tc>
          <w:tcPr>
            <w:tcW w:type="pct" w:w="10%"/>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0%"/>
            <w:tcBorders>
              <w:top w:val="single" w:color="555555" w:sz="6"/>
              <w:left w:val="single" w:color="555555" w:sz="6"/>
              <w:bottom w:val="single" w:color="555555" w:sz="6"/>
              <w:right w:val="single" w:color="555555" w:sz="6"/>
            </w:tcBorders>
          </w:tcPr>
          <w:p/>
        </w:tc>
        <w:tc>
          <w:tcPr>
            <w:tcW w:type="pct" w:w="20%"/>
            <w:tcBorders>
              <w:top w:val="single" w:color="555555" w:sz="6"/>
              <w:left w:val="single" w:color="555555" w:sz="6"/>
              <w:bottom w:val="single" w:color="555555" w:sz="6"/>
              <w:right w:val="single" w:color="555555" w:sz="6"/>
            </w:tcBorders>
          </w:tcPr>
          <w:p/>
        </w:tc>
      </w:tr>
      <w:tr>
        <w:trPr>
          <w:cantSplit/>
          <w:trHeight w:val="864" w:hRule="atLeast"/>
        </w:trPr>
        <w:tc>
          <w:tcPr>
            <w:tcW w:type="pct" w:w="10%"/>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0%"/>
            <w:tcBorders>
              <w:top w:val="single" w:color="555555" w:sz="6"/>
              <w:left w:val="single" w:color="555555" w:sz="6"/>
              <w:bottom w:val="single" w:color="555555" w:sz="6"/>
              <w:right w:val="single" w:color="555555" w:sz="6"/>
            </w:tcBorders>
          </w:tcPr>
          <w:p/>
        </w:tc>
        <w:tc>
          <w:tcPr>
            <w:tcW w:type="pct" w:w="20%"/>
            <w:tcBorders>
              <w:top w:val="single" w:color="555555" w:sz="6"/>
              <w:left w:val="single" w:color="555555" w:sz="6"/>
              <w:bottom w:val="single" w:color="555555" w:sz="6"/>
              <w:right w:val="single" w:color="555555" w:sz="6"/>
            </w:tcBorders>
          </w:tcPr>
          <w:p/>
        </w:tc>
      </w:tr>
    </w:tbl>
    <w:p>
      <w:pPr>
        <w:spacing w:after="60"/>
      </w:pPr>
    </w:p>
    <w:tbl>
      <w:tblPr>
        <w:tblW w:type="dxa" w:w="1065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552"/>
        <w:gridCol w:w="3552"/>
        <w:gridCol w:w="3552"/>
      </w:tblGrid>
      <w:tr>
        <w:trPr>
          <w:cantSplit/>
        </w:trPr>
        <w:tc>
          <w:tcPr>
            <w:tcW w:type="pct" w:w="33%"/>
            <w:tcBorders>
              <w:top w:val="none" w:color="FFFFFF" w:sz="0"/>
              <w:left w:val="none" w:color="FFFFFF" w:sz="0"/>
              <w:bottom w:val="single" w:color="555555" w:sz="6"/>
              <w:right w:val="none" w:color="FFFFFF" w:sz="0"/>
            </w:tcBorders>
          </w:tcPr>
          <w:p>
            <w:r>
              <w:rPr>
                <w:color w:val="333333"/>
                <w:sz w:val="16"/>
                <w:szCs w:val="16"/>
              </w:rPr>
              <w:t xml:space="preserve">Entered record count</w:t>
            </w:r>
          </w:p>
          <w:p>
            <w:pPr>
              <w:spacing w:line="420"/>
            </w:pPr>
          </w:p>
        </w:tc>
        <w:tc>
          <w:tcPr>
            <w:tcW w:type="pct" w:w="33%"/>
            <w:tcBorders>
              <w:top w:val="none" w:color="FFFFFF" w:sz="0"/>
              <w:left w:val="none" w:color="FFFFFF" w:sz="0"/>
              <w:bottom w:val="single" w:color="555555" w:sz="6"/>
              <w:right w:val="none" w:color="FFFFFF" w:sz="0"/>
            </w:tcBorders>
          </w:tcPr>
          <w:p>
            <w:r>
              <w:rPr>
                <w:color w:val="333333"/>
                <w:sz w:val="16"/>
                <w:szCs w:val="16"/>
              </w:rPr>
              <w:t xml:space="preserve">Defined item count</w:t>
            </w:r>
          </w:p>
          <w:p>
            <w:pPr>
              <w:spacing w:line="420"/>
            </w:pPr>
          </w:p>
        </w:tc>
        <w:tc>
          <w:tcPr>
            <w:tcW w:type="pct" w:w="33%"/>
            <w:tcBorders>
              <w:top w:val="none" w:color="FFFFFF" w:sz="0"/>
              <w:left w:val="none" w:color="FFFFFF" w:sz="0"/>
              <w:bottom w:val="single" w:color="555555" w:sz="6"/>
              <w:right w:val="none" w:color="FFFFFF" w:sz="0"/>
            </w:tcBorders>
          </w:tcPr>
          <w:p>
            <w:r>
              <w:rPr>
                <w:color w:val="333333"/>
                <w:sz w:val="16"/>
                <w:szCs w:val="16"/>
              </w:rPr>
              <w:t xml:space="preserve">Expected record-item pairs</w:t>
            </w:r>
          </w:p>
          <w:p>
            <w:pPr>
              <w:spacing w:line="420"/>
            </w:pPr>
          </w:p>
        </w:tc>
      </w:tr>
    </w:tbl>
    <w:p>
      <w:pPr>
        <w:spacing w:after="60"/>
      </w:pPr>
    </w:p>
    <w:p>
      <w:pPr>
        <w:spacing w:after="100" w:before="100"/>
      </w:pPr>
      <w:r>
        <w:rPr>
          <w:color w:val="333333"/>
          <w:sz w:val="17"/>
          <w:szCs w:val="17"/>
        </w:rPr>
        <w:t xml:space="preserve">Expected pairs = entered records × defined items. Use references without names on this sheet. Keep actual clinical content and the link to identifiable records in a practice-approved system.</w:t>
      </w:r>
    </w:p>
    <w:p>
      <w:pPr>
        <w:keepNext/>
        <w:pageBreakBefore/>
        <w:spacing w:after="60" w:before="240"/>
      </w:pPr>
      <w:r>
        <w:rPr>
          <w:b/>
          <w:bCs/>
          <w:sz w:val="22"/>
          <w:szCs w:val="22"/>
        </w:rPr>
        <w:t xml:space="preserve">Status register and administrative SOP</w:t>
      </w:r>
    </w:p>
    <w:p>
      <w:pPr>
        <w:keepNext/>
        <w:spacing w:after="60" w:before="240"/>
      </w:pPr>
      <w:r>
        <w:rPr>
          <w:b/>
          <w:bCs/>
          <w:sz w:val="22"/>
          <w:szCs w:val="22"/>
        </w:rPr>
        <w:t xml:space="preserve">Use the same references and preserve the original cycle</w:t>
      </w:r>
    </w:p>
    <w:tbl>
      <w:tblPr>
        <w:tblW w:type="dxa" w:w="1065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18"/>
        <w:gridCol w:w="1705"/>
        <w:gridCol w:w="3197"/>
        <w:gridCol w:w="1918"/>
        <w:gridCol w:w="1918"/>
      </w:tblGrid>
      <w:tr>
        <w:trPr>
          <w:cantSplit/>
          <w:tblHeader/>
        </w:trPr>
        <w:tc>
          <w:tcPr>
            <w:tcW w:type="pct" w:w="18%"/>
            <w:tcBorders>
              <w:top w:val="single" w:color="555555" w:sz="6"/>
              <w:left w:val="single" w:color="555555" w:sz="6"/>
              <w:bottom w:val="single" w:color="555555" w:sz="6"/>
              <w:right w:val="single" w:color="555555" w:sz="6"/>
            </w:tcBorders>
            <w:shd w:fill="EEF0F2" w:color="auto" w:val="clear"/>
          </w:tcPr>
          <w:p>
            <w:r>
              <w:rPr>
                <w:b/>
                <w:bCs/>
                <w:sz w:val="16"/>
                <w:szCs w:val="16"/>
              </w:rPr>
              <w:t xml:space="preserve">Record / item ref</w:t>
            </w:r>
          </w:p>
        </w:tc>
        <w:tc>
          <w:tcPr>
            <w:tcW w:type="pct" w:w="16%"/>
            <w:tcBorders>
              <w:top w:val="single" w:color="555555" w:sz="6"/>
              <w:left w:val="single" w:color="555555" w:sz="6"/>
              <w:bottom w:val="single" w:color="555555" w:sz="6"/>
              <w:right w:val="single" w:color="555555" w:sz="6"/>
            </w:tcBorders>
            <w:shd w:fill="EEF0F2" w:color="auto" w:val="clear"/>
          </w:tcPr>
          <w:p>
            <w:r>
              <w:rPr>
                <w:b/>
                <w:bCs/>
                <w:sz w:val="16"/>
                <w:szCs w:val="16"/>
              </w:rPr>
              <w:t xml:space="preserve">State</w:t>
            </w:r>
          </w:p>
        </w:tc>
        <w:tc>
          <w:tcPr>
            <w:tcW w:type="pct" w:w="30%"/>
            <w:tcBorders>
              <w:top w:val="single" w:color="555555" w:sz="6"/>
              <w:left w:val="single" w:color="555555" w:sz="6"/>
              <w:bottom w:val="single" w:color="555555" w:sz="6"/>
              <w:right w:val="single" w:color="555555" w:sz="6"/>
            </w:tcBorders>
            <w:shd w:fill="EEF0F2" w:color="auto" w:val="clear"/>
          </w:tcPr>
          <w:p>
            <w:r>
              <w:rPr>
                <w:b/>
                <w:bCs/>
                <w:sz w:val="16"/>
                <w:szCs w:val="16"/>
              </w:rPr>
              <w:t xml:space="preserve">Reason / evidence ref</w:t>
            </w:r>
          </w:p>
        </w:tc>
        <w:tc>
          <w:tcPr>
            <w:tcW w:type="pct" w:w="18%"/>
            <w:tcBorders>
              <w:top w:val="single" w:color="555555" w:sz="6"/>
              <w:left w:val="single" w:color="555555" w:sz="6"/>
              <w:bottom w:val="single" w:color="555555" w:sz="6"/>
              <w:right w:val="single" w:color="555555" w:sz="6"/>
            </w:tcBorders>
            <w:shd w:fill="EEF0F2" w:color="auto" w:val="clear"/>
          </w:tcPr>
          <w:p>
            <w:r>
              <w:rPr>
                <w:b/>
                <w:bCs/>
                <w:sz w:val="16"/>
                <w:szCs w:val="16"/>
              </w:rPr>
              <w:t xml:space="preserve">Reviewer / date</w:t>
            </w:r>
          </w:p>
        </w:tc>
        <w:tc>
          <w:tcPr>
            <w:tcW w:type="pct" w:w="18%"/>
            <w:tcBorders>
              <w:top w:val="single" w:color="555555" w:sz="6"/>
              <w:left w:val="single" w:color="555555" w:sz="6"/>
              <w:bottom w:val="single" w:color="555555" w:sz="6"/>
              <w:right w:val="single" w:color="555555" w:sz="6"/>
            </w:tcBorders>
            <w:shd w:fill="EEF0F2" w:color="auto" w:val="clear"/>
          </w:tcPr>
          <w:p>
            <w:r>
              <w:rPr>
                <w:b/>
                <w:bCs/>
                <w:sz w:val="16"/>
                <w:szCs w:val="16"/>
              </w:rPr>
              <w:t xml:space="preserve">Recheck ref</w:t>
            </w:r>
          </w:p>
        </w:tc>
      </w:tr>
      <w:tr>
        <w:trPr>
          <w:cantSplit/>
          <w:trHeight w:val="605" w:hRule="atLeast"/>
        </w:trPr>
        <w:tc>
          <w:tcPr>
            <w:tcW w:type="pct" w:w="18%"/>
            <w:tcBorders>
              <w:top w:val="single" w:color="555555" w:sz="6"/>
              <w:left w:val="single" w:color="555555" w:sz="6"/>
              <w:bottom w:val="single" w:color="555555" w:sz="6"/>
              <w:right w:val="single" w:color="555555" w:sz="6"/>
            </w:tcBorders>
          </w:tcPr>
          <w:p/>
        </w:tc>
        <w:tc>
          <w:tcPr>
            <w:tcW w:type="pct" w:w="16%"/>
            <w:tcBorders>
              <w:top w:val="single" w:color="555555" w:sz="6"/>
              <w:left w:val="single" w:color="555555" w:sz="6"/>
              <w:bottom w:val="single" w:color="555555" w:sz="6"/>
              <w:right w:val="single" w:color="555555" w:sz="6"/>
            </w:tcBorders>
          </w:tcPr>
          <w:p/>
        </w:tc>
        <w:tc>
          <w:tcPr>
            <w:tcW w:type="pct" w:w="30%"/>
            <w:tcBorders>
              <w:top w:val="single" w:color="555555" w:sz="6"/>
              <w:left w:val="single" w:color="555555" w:sz="6"/>
              <w:bottom w:val="single" w:color="555555" w:sz="6"/>
              <w:right w:val="single" w:color="555555" w:sz="6"/>
            </w:tcBorders>
          </w:tcPr>
          <w:p/>
        </w:tc>
        <w:tc>
          <w:tcPr>
            <w:tcW w:type="pct" w:w="18%"/>
            <w:tcBorders>
              <w:top w:val="single" w:color="555555" w:sz="6"/>
              <w:left w:val="single" w:color="555555" w:sz="6"/>
              <w:bottom w:val="single" w:color="555555" w:sz="6"/>
              <w:right w:val="single" w:color="555555" w:sz="6"/>
            </w:tcBorders>
          </w:tcPr>
          <w:p/>
        </w:tc>
        <w:tc>
          <w:tcPr>
            <w:tcW w:type="pct" w:w="18%"/>
            <w:tcBorders>
              <w:top w:val="single" w:color="555555" w:sz="6"/>
              <w:left w:val="single" w:color="555555" w:sz="6"/>
              <w:bottom w:val="single" w:color="555555" w:sz="6"/>
              <w:right w:val="single" w:color="555555" w:sz="6"/>
            </w:tcBorders>
          </w:tcPr>
          <w:p/>
        </w:tc>
      </w:tr>
      <w:tr>
        <w:trPr>
          <w:cantSplit/>
          <w:trHeight w:val="605" w:hRule="atLeast"/>
        </w:trPr>
        <w:tc>
          <w:tcPr>
            <w:tcW w:type="pct" w:w="18%"/>
            <w:tcBorders>
              <w:top w:val="single" w:color="555555" w:sz="6"/>
              <w:left w:val="single" w:color="555555" w:sz="6"/>
              <w:bottom w:val="single" w:color="555555" w:sz="6"/>
              <w:right w:val="single" w:color="555555" w:sz="6"/>
            </w:tcBorders>
          </w:tcPr>
          <w:p/>
        </w:tc>
        <w:tc>
          <w:tcPr>
            <w:tcW w:type="pct" w:w="16%"/>
            <w:tcBorders>
              <w:top w:val="single" w:color="555555" w:sz="6"/>
              <w:left w:val="single" w:color="555555" w:sz="6"/>
              <w:bottom w:val="single" w:color="555555" w:sz="6"/>
              <w:right w:val="single" w:color="555555" w:sz="6"/>
            </w:tcBorders>
          </w:tcPr>
          <w:p/>
        </w:tc>
        <w:tc>
          <w:tcPr>
            <w:tcW w:type="pct" w:w="30%"/>
            <w:tcBorders>
              <w:top w:val="single" w:color="555555" w:sz="6"/>
              <w:left w:val="single" w:color="555555" w:sz="6"/>
              <w:bottom w:val="single" w:color="555555" w:sz="6"/>
              <w:right w:val="single" w:color="555555" w:sz="6"/>
            </w:tcBorders>
          </w:tcPr>
          <w:p/>
        </w:tc>
        <w:tc>
          <w:tcPr>
            <w:tcW w:type="pct" w:w="18%"/>
            <w:tcBorders>
              <w:top w:val="single" w:color="555555" w:sz="6"/>
              <w:left w:val="single" w:color="555555" w:sz="6"/>
              <w:bottom w:val="single" w:color="555555" w:sz="6"/>
              <w:right w:val="single" w:color="555555" w:sz="6"/>
            </w:tcBorders>
          </w:tcPr>
          <w:p/>
        </w:tc>
        <w:tc>
          <w:tcPr>
            <w:tcW w:type="pct" w:w="18%"/>
            <w:tcBorders>
              <w:top w:val="single" w:color="555555" w:sz="6"/>
              <w:left w:val="single" w:color="555555" w:sz="6"/>
              <w:bottom w:val="single" w:color="555555" w:sz="6"/>
              <w:right w:val="single" w:color="555555" w:sz="6"/>
            </w:tcBorders>
          </w:tcPr>
          <w:p/>
        </w:tc>
      </w:tr>
      <w:tr>
        <w:trPr>
          <w:cantSplit/>
          <w:trHeight w:val="605" w:hRule="atLeast"/>
        </w:trPr>
        <w:tc>
          <w:tcPr>
            <w:tcW w:type="pct" w:w="18%"/>
            <w:tcBorders>
              <w:top w:val="single" w:color="555555" w:sz="6"/>
              <w:left w:val="single" w:color="555555" w:sz="6"/>
              <w:bottom w:val="single" w:color="555555" w:sz="6"/>
              <w:right w:val="single" w:color="555555" w:sz="6"/>
            </w:tcBorders>
          </w:tcPr>
          <w:p/>
        </w:tc>
        <w:tc>
          <w:tcPr>
            <w:tcW w:type="pct" w:w="16%"/>
            <w:tcBorders>
              <w:top w:val="single" w:color="555555" w:sz="6"/>
              <w:left w:val="single" w:color="555555" w:sz="6"/>
              <w:bottom w:val="single" w:color="555555" w:sz="6"/>
              <w:right w:val="single" w:color="555555" w:sz="6"/>
            </w:tcBorders>
          </w:tcPr>
          <w:p/>
        </w:tc>
        <w:tc>
          <w:tcPr>
            <w:tcW w:type="pct" w:w="30%"/>
            <w:tcBorders>
              <w:top w:val="single" w:color="555555" w:sz="6"/>
              <w:left w:val="single" w:color="555555" w:sz="6"/>
              <w:bottom w:val="single" w:color="555555" w:sz="6"/>
              <w:right w:val="single" w:color="555555" w:sz="6"/>
            </w:tcBorders>
          </w:tcPr>
          <w:p/>
        </w:tc>
        <w:tc>
          <w:tcPr>
            <w:tcW w:type="pct" w:w="18%"/>
            <w:tcBorders>
              <w:top w:val="single" w:color="555555" w:sz="6"/>
              <w:left w:val="single" w:color="555555" w:sz="6"/>
              <w:bottom w:val="single" w:color="555555" w:sz="6"/>
              <w:right w:val="single" w:color="555555" w:sz="6"/>
            </w:tcBorders>
          </w:tcPr>
          <w:p/>
        </w:tc>
        <w:tc>
          <w:tcPr>
            <w:tcW w:type="pct" w:w="18%"/>
            <w:tcBorders>
              <w:top w:val="single" w:color="555555" w:sz="6"/>
              <w:left w:val="single" w:color="555555" w:sz="6"/>
              <w:bottom w:val="single" w:color="555555" w:sz="6"/>
              <w:right w:val="single" w:color="555555" w:sz="6"/>
            </w:tcBorders>
          </w:tcPr>
          <w:p/>
        </w:tc>
      </w:tr>
      <w:tr>
        <w:trPr>
          <w:cantSplit/>
          <w:trHeight w:val="605" w:hRule="atLeast"/>
        </w:trPr>
        <w:tc>
          <w:tcPr>
            <w:tcW w:type="pct" w:w="18%"/>
            <w:tcBorders>
              <w:top w:val="single" w:color="555555" w:sz="6"/>
              <w:left w:val="single" w:color="555555" w:sz="6"/>
              <w:bottom w:val="single" w:color="555555" w:sz="6"/>
              <w:right w:val="single" w:color="555555" w:sz="6"/>
            </w:tcBorders>
          </w:tcPr>
          <w:p/>
        </w:tc>
        <w:tc>
          <w:tcPr>
            <w:tcW w:type="pct" w:w="16%"/>
            <w:tcBorders>
              <w:top w:val="single" w:color="555555" w:sz="6"/>
              <w:left w:val="single" w:color="555555" w:sz="6"/>
              <w:bottom w:val="single" w:color="555555" w:sz="6"/>
              <w:right w:val="single" w:color="555555" w:sz="6"/>
            </w:tcBorders>
          </w:tcPr>
          <w:p/>
        </w:tc>
        <w:tc>
          <w:tcPr>
            <w:tcW w:type="pct" w:w="30%"/>
            <w:tcBorders>
              <w:top w:val="single" w:color="555555" w:sz="6"/>
              <w:left w:val="single" w:color="555555" w:sz="6"/>
              <w:bottom w:val="single" w:color="555555" w:sz="6"/>
              <w:right w:val="single" w:color="555555" w:sz="6"/>
            </w:tcBorders>
          </w:tcPr>
          <w:p/>
        </w:tc>
        <w:tc>
          <w:tcPr>
            <w:tcW w:type="pct" w:w="18%"/>
            <w:tcBorders>
              <w:top w:val="single" w:color="555555" w:sz="6"/>
              <w:left w:val="single" w:color="555555" w:sz="6"/>
              <w:bottom w:val="single" w:color="555555" w:sz="6"/>
              <w:right w:val="single" w:color="555555" w:sz="6"/>
            </w:tcBorders>
          </w:tcPr>
          <w:p/>
        </w:tc>
        <w:tc>
          <w:tcPr>
            <w:tcW w:type="pct" w:w="18%"/>
            <w:tcBorders>
              <w:top w:val="single" w:color="555555" w:sz="6"/>
              <w:left w:val="single" w:color="555555" w:sz="6"/>
              <w:bottom w:val="single" w:color="555555" w:sz="6"/>
              <w:right w:val="single" w:color="555555" w:sz="6"/>
            </w:tcBorders>
          </w:tcPr>
          <w:p/>
        </w:tc>
      </w:tr>
      <w:tr>
        <w:trPr>
          <w:cantSplit/>
          <w:trHeight w:val="605" w:hRule="atLeast"/>
        </w:trPr>
        <w:tc>
          <w:tcPr>
            <w:tcW w:type="pct" w:w="18%"/>
            <w:tcBorders>
              <w:top w:val="single" w:color="555555" w:sz="6"/>
              <w:left w:val="single" w:color="555555" w:sz="6"/>
              <w:bottom w:val="single" w:color="555555" w:sz="6"/>
              <w:right w:val="single" w:color="555555" w:sz="6"/>
            </w:tcBorders>
          </w:tcPr>
          <w:p/>
        </w:tc>
        <w:tc>
          <w:tcPr>
            <w:tcW w:type="pct" w:w="16%"/>
            <w:tcBorders>
              <w:top w:val="single" w:color="555555" w:sz="6"/>
              <w:left w:val="single" w:color="555555" w:sz="6"/>
              <w:bottom w:val="single" w:color="555555" w:sz="6"/>
              <w:right w:val="single" w:color="555555" w:sz="6"/>
            </w:tcBorders>
          </w:tcPr>
          <w:p/>
        </w:tc>
        <w:tc>
          <w:tcPr>
            <w:tcW w:type="pct" w:w="30%"/>
            <w:tcBorders>
              <w:top w:val="single" w:color="555555" w:sz="6"/>
              <w:left w:val="single" w:color="555555" w:sz="6"/>
              <w:bottom w:val="single" w:color="555555" w:sz="6"/>
              <w:right w:val="single" w:color="555555" w:sz="6"/>
            </w:tcBorders>
          </w:tcPr>
          <w:p/>
        </w:tc>
        <w:tc>
          <w:tcPr>
            <w:tcW w:type="pct" w:w="18%"/>
            <w:tcBorders>
              <w:top w:val="single" w:color="555555" w:sz="6"/>
              <w:left w:val="single" w:color="555555" w:sz="6"/>
              <w:bottom w:val="single" w:color="555555" w:sz="6"/>
              <w:right w:val="single" w:color="555555" w:sz="6"/>
            </w:tcBorders>
          </w:tcPr>
          <w:p/>
        </w:tc>
        <w:tc>
          <w:tcPr>
            <w:tcW w:type="pct" w:w="18%"/>
            <w:tcBorders>
              <w:top w:val="single" w:color="555555" w:sz="6"/>
              <w:left w:val="single" w:color="555555" w:sz="6"/>
              <w:bottom w:val="single" w:color="555555" w:sz="6"/>
              <w:right w:val="single" w:color="555555" w:sz="6"/>
            </w:tcBorders>
          </w:tcPr>
          <w:p/>
        </w:tc>
      </w:tr>
      <w:tr>
        <w:trPr>
          <w:cantSplit/>
          <w:trHeight w:val="605" w:hRule="atLeast"/>
        </w:trPr>
        <w:tc>
          <w:tcPr>
            <w:tcW w:type="pct" w:w="18%"/>
            <w:tcBorders>
              <w:top w:val="single" w:color="555555" w:sz="6"/>
              <w:left w:val="single" w:color="555555" w:sz="6"/>
              <w:bottom w:val="single" w:color="555555" w:sz="6"/>
              <w:right w:val="single" w:color="555555" w:sz="6"/>
            </w:tcBorders>
          </w:tcPr>
          <w:p/>
        </w:tc>
        <w:tc>
          <w:tcPr>
            <w:tcW w:type="pct" w:w="16%"/>
            <w:tcBorders>
              <w:top w:val="single" w:color="555555" w:sz="6"/>
              <w:left w:val="single" w:color="555555" w:sz="6"/>
              <w:bottom w:val="single" w:color="555555" w:sz="6"/>
              <w:right w:val="single" w:color="555555" w:sz="6"/>
            </w:tcBorders>
          </w:tcPr>
          <w:p/>
        </w:tc>
        <w:tc>
          <w:tcPr>
            <w:tcW w:type="pct" w:w="30%"/>
            <w:tcBorders>
              <w:top w:val="single" w:color="555555" w:sz="6"/>
              <w:left w:val="single" w:color="555555" w:sz="6"/>
              <w:bottom w:val="single" w:color="555555" w:sz="6"/>
              <w:right w:val="single" w:color="555555" w:sz="6"/>
            </w:tcBorders>
          </w:tcPr>
          <w:p/>
        </w:tc>
        <w:tc>
          <w:tcPr>
            <w:tcW w:type="pct" w:w="18%"/>
            <w:tcBorders>
              <w:top w:val="single" w:color="555555" w:sz="6"/>
              <w:left w:val="single" w:color="555555" w:sz="6"/>
              <w:bottom w:val="single" w:color="555555" w:sz="6"/>
              <w:right w:val="single" w:color="555555" w:sz="6"/>
            </w:tcBorders>
          </w:tcPr>
          <w:p/>
        </w:tc>
        <w:tc>
          <w:tcPr>
            <w:tcW w:type="pct" w:w="18%"/>
            <w:tcBorders>
              <w:top w:val="single" w:color="555555" w:sz="6"/>
              <w:left w:val="single" w:color="555555" w:sz="6"/>
              <w:bottom w:val="single" w:color="555555" w:sz="6"/>
              <w:right w:val="single" w:color="555555" w:sz="6"/>
            </w:tcBorders>
          </w:tcPr>
          <w:p/>
        </w:tc>
      </w:tr>
    </w:tbl>
    <w:p>
      <w:pPr>
        <w:spacing w:after="6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SOP purpose, trigger, permitted inputs and responsible role</w:t>
            </w:r>
          </w:p>
          <w:p>
            <w:pPr>
              <w:spacing w:line="432"/>
            </w:pPr>
          </w:p>
        </w:tc>
      </w:tr>
    </w:tbl>
    <w:p>
      <w:pPr>
        <w:spacing w:after="20" w:before="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Ordered steps and evidence that each handoff is complete</w:t>
            </w:r>
          </w:p>
          <w:p>
            <w:pPr>
              <w:spacing w:line="864"/>
            </w:pPr>
          </w:p>
        </w:tc>
      </w:tr>
    </w:tbl>
    <w:p>
      <w:pPr>
        <w:spacing w:after="20" w:before="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Exception / escalation route; document version and review owner</w:t>
            </w:r>
          </w:p>
          <w:p>
            <w:pPr>
              <w:spacing w:line="432"/>
            </w:pPr>
          </w:p>
        </w:tc>
      </w:tr>
    </w:tbl>
    <w:p>
      <w:pPr>
        <w:spacing w:after="20" w:before="0"/>
      </w:pPr>
    </w:p>
    <w:p>
      <w:pPr>
        <w:keepNext/>
        <w:spacing w:after="60" w:before="240"/>
      </w:pPr>
      <w:r>
        <w:rPr>
          <w:b/>
          <w:bCs/>
          <w:sz w:val="22"/>
          <w:szCs w:val="22"/>
        </w:rPr>
        <w:t xml:space="preserve">Finding, action and verified closure</w:t>
      </w:r>
    </w:p>
    <w:tbl>
      <w:tblPr>
        <w:tblW w:type="dxa" w:w="1065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8"/>
        <w:gridCol w:w="3730"/>
        <w:gridCol w:w="3197"/>
        <w:gridCol w:w="2131"/>
      </w:tblGrid>
      <w:tr>
        <w:trPr>
          <w:cantSplit/>
          <w:tblHeader/>
        </w:trPr>
        <w:tc>
          <w:tcPr>
            <w:tcW w:type="pct" w:w="15%"/>
            <w:tcBorders>
              <w:top w:val="single" w:color="555555" w:sz="6"/>
              <w:left w:val="single" w:color="555555" w:sz="6"/>
              <w:bottom w:val="single" w:color="555555" w:sz="6"/>
              <w:right w:val="single" w:color="555555" w:sz="6"/>
            </w:tcBorders>
            <w:shd w:fill="EEF0F2" w:color="auto" w:val="clear"/>
          </w:tcPr>
          <w:p>
            <w:r>
              <w:rPr>
                <w:b/>
                <w:bCs/>
                <w:sz w:val="16"/>
                <w:szCs w:val="16"/>
              </w:rPr>
              <w:t xml:space="preserve">Finding ref</w:t>
            </w:r>
          </w:p>
        </w:tc>
        <w:tc>
          <w:tcPr>
            <w:tcW w:type="pct" w:w="35%"/>
            <w:tcBorders>
              <w:top w:val="single" w:color="555555" w:sz="6"/>
              <w:left w:val="single" w:color="555555" w:sz="6"/>
              <w:bottom w:val="single" w:color="555555" w:sz="6"/>
              <w:right w:val="single" w:color="555555" w:sz="6"/>
            </w:tcBorders>
            <w:shd w:fill="EEF0F2" w:color="auto" w:val="clear"/>
          </w:tcPr>
          <w:p>
            <w:r>
              <w:rPr>
                <w:b/>
                <w:bCs/>
                <w:sz w:val="16"/>
                <w:szCs w:val="16"/>
              </w:rPr>
              <w:t xml:space="preserve">Action / owner / due</w:t>
            </w:r>
          </w:p>
        </w:tc>
        <w:tc>
          <w:tcPr>
            <w:tcW w:type="pct" w:w="30%"/>
            <w:tcBorders>
              <w:top w:val="single" w:color="555555" w:sz="6"/>
              <w:left w:val="single" w:color="555555" w:sz="6"/>
              <w:bottom w:val="single" w:color="555555" w:sz="6"/>
              <w:right w:val="single" w:color="555555" w:sz="6"/>
            </w:tcBorders>
            <w:shd w:fill="EEF0F2" w:color="auto" w:val="clear"/>
          </w:tcPr>
          <w:p>
            <w:r>
              <w:rPr>
                <w:b/>
                <w:bCs/>
                <w:sz w:val="16"/>
                <w:szCs w:val="16"/>
              </w:rPr>
              <w:t xml:space="preserve">Evidence / recheck</w:t>
            </w:r>
          </w:p>
        </w:tc>
        <w:tc>
          <w:tcPr>
            <w:tcW w:type="pct" w:w="20%"/>
            <w:tcBorders>
              <w:top w:val="single" w:color="555555" w:sz="6"/>
              <w:left w:val="single" w:color="555555" w:sz="6"/>
              <w:bottom w:val="single" w:color="555555" w:sz="6"/>
              <w:right w:val="single" w:color="555555" w:sz="6"/>
            </w:tcBorders>
            <w:shd w:fill="EEF0F2" w:color="auto" w:val="clear"/>
          </w:tcPr>
          <w:p>
            <w:r>
              <w:rPr>
                <w:b/>
                <w:bCs/>
                <w:sz w:val="16"/>
                <w:szCs w:val="16"/>
              </w:rPr>
              <w:t xml:space="preserve">Closure / carry-forward reason</w:t>
            </w:r>
          </w:p>
        </w:tc>
      </w:tr>
      <w:tr>
        <w:trPr>
          <w:cantSplit/>
          <w:trHeight w:val="576" w:hRule="atLeast"/>
        </w:trPr>
        <w:tc>
          <w:tcPr>
            <w:tcW w:type="pct" w:w="15%"/>
            <w:tcBorders>
              <w:top w:val="single" w:color="555555" w:sz="6"/>
              <w:left w:val="single" w:color="555555" w:sz="6"/>
              <w:bottom w:val="single" w:color="555555" w:sz="6"/>
              <w:right w:val="single" w:color="555555" w:sz="6"/>
            </w:tcBorders>
          </w:tcPr>
          <w:p/>
        </w:tc>
        <w:tc>
          <w:tcPr>
            <w:tcW w:type="pct" w:w="35%"/>
            <w:tcBorders>
              <w:top w:val="single" w:color="555555" w:sz="6"/>
              <w:left w:val="single" w:color="555555" w:sz="6"/>
              <w:bottom w:val="single" w:color="555555" w:sz="6"/>
              <w:right w:val="single" w:color="555555" w:sz="6"/>
            </w:tcBorders>
          </w:tcPr>
          <w:p/>
        </w:tc>
        <w:tc>
          <w:tcPr>
            <w:tcW w:type="pct" w:w="30%"/>
            <w:tcBorders>
              <w:top w:val="single" w:color="555555" w:sz="6"/>
              <w:left w:val="single" w:color="555555" w:sz="6"/>
              <w:bottom w:val="single" w:color="555555" w:sz="6"/>
              <w:right w:val="single" w:color="555555" w:sz="6"/>
            </w:tcBorders>
          </w:tcPr>
          <w:p/>
        </w:tc>
        <w:tc>
          <w:tcPr>
            <w:tcW w:type="pct" w:w="20%"/>
            <w:tcBorders>
              <w:top w:val="single" w:color="555555" w:sz="6"/>
              <w:left w:val="single" w:color="555555" w:sz="6"/>
              <w:bottom w:val="single" w:color="555555" w:sz="6"/>
              <w:right w:val="single" w:color="555555" w:sz="6"/>
            </w:tcBorders>
          </w:tcPr>
          <w:p/>
        </w:tc>
      </w:tr>
      <w:tr>
        <w:trPr>
          <w:cantSplit/>
          <w:trHeight w:val="576" w:hRule="atLeast"/>
        </w:trPr>
        <w:tc>
          <w:tcPr>
            <w:tcW w:type="pct" w:w="15%"/>
            <w:tcBorders>
              <w:top w:val="single" w:color="555555" w:sz="6"/>
              <w:left w:val="single" w:color="555555" w:sz="6"/>
              <w:bottom w:val="single" w:color="555555" w:sz="6"/>
              <w:right w:val="single" w:color="555555" w:sz="6"/>
            </w:tcBorders>
          </w:tcPr>
          <w:p/>
        </w:tc>
        <w:tc>
          <w:tcPr>
            <w:tcW w:type="pct" w:w="35%"/>
            <w:tcBorders>
              <w:top w:val="single" w:color="555555" w:sz="6"/>
              <w:left w:val="single" w:color="555555" w:sz="6"/>
              <w:bottom w:val="single" w:color="555555" w:sz="6"/>
              <w:right w:val="single" w:color="555555" w:sz="6"/>
            </w:tcBorders>
          </w:tcPr>
          <w:p/>
        </w:tc>
        <w:tc>
          <w:tcPr>
            <w:tcW w:type="pct" w:w="30%"/>
            <w:tcBorders>
              <w:top w:val="single" w:color="555555" w:sz="6"/>
              <w:left w:val="single" w:color="555555" w:sz="6"/>
              <w:bottom w:val="single" w:color="555555" w:sz="6"/>
              <w:right w:val="single" w:color="555555" w:sz="6"/>
            </w:tcBorders>
          </w:tcPr>
          <w:p/>
        </w:tc>
        <w:tc>
          <w:tcPr>
            <w:tcW w:type="pct" w:w="20%"/>
            <w:tcBorders>
              <w:top w:val="single" w:color="555555" w:sz="6"/>
              <w:left w:val="single" w:color="555555" w:sz="6"/>
              <w:bottom w:val="single" w:color="555555" w:sz="6"/>
              <w:right w:val="single" w:color="555555" w:sz="6"/>
            </w:tcBorders>
          </w:tcPr>
          <w:p/>
        </w:tc>
      </w:tr>
      <w:tr>
        <w:trPr>
          <w:cantSplit/>
          <w:trHeight w:val="576" w:hRule="atLeast"/>
        </w:trPr>
        <w:tc>
          <w:tcPr>
            <w:tcW w:type="pct" w:w="15%"/>
            <w:tcBorders>
              <w:top w:val="single" w:color="555555" w:sz="6"/>
              <w:left w:val="single" w:color="555555" w:sz="6"/>
              <w:bottom w:val="single" w:color="555555" w:sz="6"/>
              <w:right w:val="single" w:color="555555" w:sz="6"/>
            </w:tcBorders>
          </w:tcPr>
          <w:p/>
        </w:tc>
        <w:tc>
          <w:tcPr>
            <w:tcW w:type="pct" w:w="35%"/>
            <w:tcBorders>
              <w:top w:val="single" w:color="555555" w:sz="6"/>
              <w:left w:val="single" w:color="555555" w:sz="6"/>
              <w:bottom w:val="single" w:color="555555" w:sz="6"/>
              <w:right w:val="single" w:color="555555" w:sz="6"/>
            </w:tcBorders>
          </w:tcPr>
          <w:p/>
        </w:tc>
        <w:tc>
          <w:tcPr>
            <w:tcW w:type="pct" w:w="30%"/>
            <w:tcBorders>
              <w:top w:val="single" w:color="555555" w:sz="6"/>
              <w:left w:val="single" w:color="555555" w:sz="6"/>
              <w:bottom w:val="single" w:color="555555" w:sz="6"/>
              <w:right w:val="single" w:color="555555" w:sz="6"/>
            </w:tcBorders>
          </w:tcPr>
          <w:p/>
        </w:tc>
        <w:tc>
          <w:tcPr>
            <w:tcW w:type="pct" w:w="20%"/>
            <w:tcBorders>
              <w:top w:val="single" w:color="555555" w:sz="6"/>
              <w:left w:val="single" w:color="555555" w:sz="6"/>
              <w:bottom w:val="single" w:color="555555" w:sz="6"/>
              <w:right w:val="single" w:color="555555" w:sz="6"/>
            </w:tcBorders>
          </w:tcPr>
          <w:p/>
        </w:tc>
      </w:tr>
    </w:tbl>
    <w:p>
      <w:pPr>
        <w:spacing w:after="60"/>
      </w:pPr>
    </w:p>
    <w:p>
      <w:pPr>
        <w:spacing w:after="100" w:before="100"/>
      </w:pPr>
      <w:r>
        <w:rPr>
          <w:color w:val="333333"/>
          <w:sz w:val="17"/>
          <w:szCs w:val="17"/>
        </w:rPr>
        <w:t xml:space="preserve">Preserve not-reviewed and missing entries. Completion of a follow-up task and verification of the evidence are separate events. This worksheet supplies no clinical, legal, retention, payer or certification requirements.</w:t>
      </w:r>
    </w:p>
    <w:sectPr>
      <w:headerReference w:type="default" r:id="rId7"/>
      <w:footerReference w:type="default" r:id="rId8"/>
      <w:pgSz w:w="12240" w:h="15840" w:orient="portrait"/>
      <w:pgMar w:top="1224" w:right="792" w:bottom="936" w:left="792" w:header="360"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555555"/>
        <w:sz w:val="14"/>
        <w:szCs w:val="14"/>
      </w:rPr>
      <w:t xml:space="preserve">Blank template from TherapyCRM. Adapt it to your clinic’s own policy and professional judgment. It is not clinical, legal or regulatory advice and does not claim to meet any payer, regulator or certification-body requirement. therapycrm.io/guides/therapy-documentation-audit-checklist</w:t>
    </w:r>
    <w:r>
      <w:rPr>
        <w:sz w:val="14"/>
        <w:szCs w:val="14"/>
      </w:rPr>
      <w:t xml:space="preserve">  Page </w:t>
    </w:r>
    <w:r>
      <w:rPr>
        <w:sz w:val="14"/>
        <w:szCs w:val="14"/>
      </w:rPr>
      <w:fldChar w:fldCharType="begin"/>
      <w:instrText xml:space="preserve">PAGE</w:instrText>
      <w:fldChar w:fldCharType="separate"/>
      <w:fldChar w:fldCharType="end"/>
    </w:r>
    <w:r>
      <w:rPr>
        <w:sz w:val="14"/>
        <w:szCs w:val="14"/>
      </w:rPr>
      <w:t xml:space="preserve"> of </w:t>
    </w:r>
    <w:r>
      <w:rPr>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color w:val="333333"/>
        <w:sz w:val="16"/>
        <w:szCs w:val="16"/>
      </w:rPr>
      <w:t xml:space="preserve">Documentation review and SOP worksheet</w:t>
    </w:r>
  </w:p>
  <w:p>
    <w:r>
      <w:rPr>
        <w:color w:val="333333"/>
        <w:sz w:val="16"/>
        <w:szCs w:val="16"/>
      </w:rPr>
      <w:t xml:space="preserve">Cycle / period: __________________     Checklist version: __________________</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Documentation review and SOP worksheet</dc:title>
  <dc:creator>TherapyCRM</dc:creator>
  <dc:description>Define a review cycle, keep unknown statuses visible and assign follow-up with evidence.</dc:description>
  <cp:lastModifiedBy>Un-named</cp:lastModifiedBy>
  <cp:revision>1</cp:revision>
  <dcterms:created xsi:type="dcterms:W3CDTF">2026-10-10T07:11:07.087Z</dcterms:created>
  <dcterms:modified xsi:type="dcterms:W3CDTF">2026-10-10T07:11:07.087Z</dcterms:modified>
</cp:coreProperties>
</file>

<file path=docProps/custom.xml><?xml version="1.0" encoding="utf-8"?>
<Properties xmlns="http://schemas.openxmlformats.org/officeDocument/2006/custom-properties" xmlns:vt="http://schemas.openxmlformats.org/officeDocument/2006/docPropsVTypes"/>
</file>