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Clinic workload and capacity review</w:t>
      </w:r>
    </w:p>
    <w:p>
      <w:pPr>
        <w:spacing w:after="160"/>
      </w:pPr>
      <w:r>
        <w:rPr>
          <w:color w:val="444444"/>
          <w:sz w:val="18"/>
          <w:szCs w:val="18"/>
        </w:rPr>
        <w:t xml:space="preserve">Plan one week using distinct time categories, then review staff, room and schedule constraints.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rPr>
          <w:cantSplit/>
        </w:trPr>
        <w:tc>
          <w:tcPr>
            <w:tcW w:type="pct" w:w="33%"/>
            <w:tcBorders>
              <w:top w:val="none" w:color="FFFFFF" w:sz="0"/>
              <w:left w:val="none" w:color="FFFFFF" w:sz="0"/>
              <w:bottom w:val="single" w:color="555555" w:sz="6"/>
              <w:right w:val="none" w:color="FFFFFF" w:sz="0"/>
            </w:tcBorders>
          </w:tcPr>
          <w:p>
            <w:r>
              <w:rPr>
                <w:color w:val="333333"/>
                <w:sz w:val="16"/>
                <w:szCs w:val="16"/>
              </w:rPr>
              <w:t xml:space="preserve">Paid hours</w:t>
            </w:r>
          </w:p>
          <w:p>
            <w:pPr>
              <w:spacing w:line="420"/>
            </w:pPr>
          </w:p>
        </w:tc>
        <w:tc>
          <w:tcPr>
            <w:tcW w:type="pct" w:w="33%"/>
            <w:tcBorders>
              <w:top w:val="none" w:color="FFFFFF" w:sz="0"/>
              <w:left w:val="none" w:color="FFFFFF" w:sz="0"/>
              <w:bottom w:val="single" w:color="555555" w:sz="6"/>
              <w:right w:val="none" w:color="FFFFFF" w:sz="0"/>
            </w:tcBorders>
          </w:tcPr>
          <w:p>
            <w:r>
              <w:rPr>
                <w:color w:val="333333"/>
                <w:sz w:val="16"/>
                <w:szCs w:val="16"/>
              </w:rPr>
              <w:t xml:space="preserve">Protected hours / reasons</w:t>
            </w:r>
          </w:p>
          <w:p>
            <w:pPr>
              <w:spacing w:line="420"/>
            </w:pPr>
          </w:p>
        </w:tc>
        <w:tc>
          <w:tcPr>
            <w:tcW w:type="pct" w:w="33%"/>
            <w:tcBorders>
              <w:top w:val="none" w:color="FFFFFF" w:sz="0"/>
              <w:left w:val="none" w:color="FFFFFF" w:sz="0"/>
              <w:bottom w:val="single" w:color="555555" w:sz="6"/>
              <w:right w:val="none" w:color="FFFFFF" w:sz="0"/>
            </w:tcBorders>
          </w:tcPr>
          <w:p>
            <w:r>
              <w:rPr>
                <w:color w:val="333333"/>
                <w:sz w:val="16"/>
                <w:szCs w:val="16"/>
              </w:rPr>
              <w:t xml:space="preserve">Reviewer role / date</w:t>
            </w:r>
          </w:p>
          <w:p>
            <w:pPr>
              <w:spacing w:line="420"/>
            </w:pPr>
          </w:p>
        </w:tc>
      </w:tr>
    </w:tbl>
    <w:p>
      <w:pPr>
        <w:spacing w:after="60"/>
      </w:pPr>
    </w:p>
    <w:p>
      <w:pPr>
        <w:spacing w:after="100" w:before="100"/>
      </w:pPr>
      <w:r>
        <w:rPr>
          <w:color w:val="333333"/>
          <w:sz w:val="17"/>
          <w:szCs w:val="17"/>
        </w:rPr>
        <w:t xml:space="preserve">Use minutes consistently. Record duties once: a timed block and its component tasks must not both count. Keep missing inputs and separately observed outside-hours work visible.</w:t>
      </w:r>
    </w:p>
    <w:p>
      <w:pPr>
        <w:keepNext/>
        <w:spacing w:after="60" w:before="240"/>
      </w:pPr>
      <w:r>
        <w:rPr>
          <w:b/>
          <w:bCs/>
          <w:sz w:val="22"/>
          <w:szCs w:val="22"/>
        </w:rPr>
        <w:t xml:space="preserve">Duty inventory: no client names or clinical records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6"/>
        <w:gridCol w:w="2664"/>
        <w:gridCol w:w="959"/>
        <w:gridCol w:w="1385"/>
        <w:gridCol w:w="1385"/>
        <w:gridCol w:w="3197"/>
      </w:tblGrid>
      <w:tr>
        <w:trPr>
          <w:cantSplit/>
          <w:tblHeader/>
        </w:trPr>
        <w:tc>
          <w:tcPr>
            <w:tcW w:type="pct" w:w="10%"/>
            <w:tcBorders>
              <w:top w:val="single" w:color="555555" w:sz="6"/>
              <w:left w:val="single" w:color="555555" w:sz="6"/>
              <w:bottom w:val="single" w:color="555555" w:sz="6"/>
              <w:right w:val="single" w:color="555555" w:sz="6"/>
            </w:tcBorders>
            <w:shd w:fill="EEF0F2" w:color="auto" w:val="clear"/>
          </w:tcPr>
          <w:p>
            <w:r>
              <w:rPr>
                <w:b/>
                <w:bCs/>
                <w:sz w:val="16"/>
                <w:szCs w:val="16"/>
              </w:rPr>
              <w:t xml:space="preserve">Duty ref</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Duty description</w:t>
            </w:r>
          </w:p>
        </w:tc>
        <w:tc>
          <w:tcPr>
            <w:tcW w:type="pct" w:w="9%"/>
            <w:tcBorders>
              <w:top w:val="single" w:color="555555" w:sz="6"/>
              <w:left w:val="single" w:color="555555" w:sz="6"/>
              <w:bottom w:val="single" w:color="555555" w:sz="6"/>
              <w:right w:val="single" w:color="555555" w:sz="6"/>
            </w:tcBorders>
            <w:shd w:fill="EEF0F2" w:color="auto" w:val="clear"/>
          </w:tcPr>
          <w:p>
            <w:r>
              <w:rPr>
                <w:b/>
                <w:bCs/>
                <w:sz w:val="16"/>
                <w:szCs w:val="16"/>
              </w:rPr>
              <w:t xml:space="preserve">Count</w:t>
            </w:r>
          </w:p>
        </w:tc>
        <w:tc>
          <w:tcPr>
            <w:tcW w:type="pct" w:w="13%"/>
            <w:tcBorders>
              <w:top w:val="single" w:color="555555" w:sz="6"/>
              <w:left w:val="single" w:color="555555" w:sz="6"/>
              <w:bottom w:val="single" w:color="555555" w:sz="6"/>
              <w:right w:val="single" w:color="555555" w:sz="6"/>
            </w:tcBorders>
            <w:shd w:fill="EEF0F2" w:color="auto" w:val="clear"/>
          </w:tcPr>
          <w:p>
            <w:r>
              <w:rPr>
                <w:b/>
                <w:bCs/>
                <w:sz w:val="16"/>
                <w:szCs w:val="16"/>
              </w:rPr>
              <w:t xml:space="preserve">Minutes each</w:t>
            </w:r>
          </w:p>
        </w:tc>
        <w:tc>
          <w:tcPr>
            <w:tcW w:type="pct" w:w="13%"/>
            <w:tcBorders>
              <w:top w:val="single" w:color="555555" w:sz="6"/>
              <w:left w:val="single" w:color="555555" w:sz="6"/>
              <w:bottom w:val="single" w:color="555555" w:sz="6"/>
              <w:right w:val="single" w:color="555555" w:sz="6"/>
            </w:tcBorders>
            <w:shd w:fill="EEF0F2" w:color="auto" w:val="clear"/>
          </w:tcPr>
          <w:p>
            <w:r>
              <w:rPr>
                <w:b/>
                <w:bCs/>
                <w:sz w:val="16"/>
                <w:szCs w:val="16"/>
              </w:rPr>
              <w:t xml:space="preserve">Total minutes</w:t>
            </w:r>
          </w:p>
        </w:tc>
        <w:tc>
          <w:tcPr>
            <w:tcW w:type="pct" w:w="30%"/>
            <w:tcBorders>
              <w:top w:val="single" w:color="555555" w:sz="6"/>
              <w:left w:val="single" w:color="555555" w:sz="6"/>
              <w:bottom w:val="single" w:color="555555" w:sz="6"/>
              <w:right w:val="single" w:color="555555" w:sz="6"/>
            </w:tcBorders>
            <w:shd w:fill="EEF0F2" w:color="auto" w:val="clear"/>
          </w:tcPr>
          <w:p>
            <w:r>
              <w:rPr>
                <w:b/>
                <w:bCs/>
                <w:sz w:val="16"/>
                <w:szCs w:val="16"/>
              </w:rPr>
              <w:t xml:space="preserve">Evidence / assumption / unknown</w:t>
            </w:r>
          </w:p>
        </w:tc>
      </w:tr>
      <w:tr>
        <w:trPr>
          <w:cantSplit/>
          <w:trHeight w:val="691" w:hRule="atLeast"/>
        </w:trPr>
        <w:tc>
          <w:tcPr>
            <w:tcW w:type="pct" w:w="1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r>
      <w:tr>
        <w:trPr>
          <w:cantSplit/>
          <w:trHeight w:val="691" w:hRule="atLeast"/>
        </w:trPr>
        <w:tc>
          <w:tcPr>
            <w:tcW w:type="pct" w:w="1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r>
      <w:tr>
        <w:trPr>
          <w:cantSplit/>
          <w:trHeight w:val="691" w:hRule="atLeast"/>
        </w:trPr>
        <w:tc>
          <w:tcPr>
            <w:tcW w:type="pct" w:w="1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r>
      <w:tr>
        <w:trPr>
          <w:cantSplit/>
          <w:trHeight w:val="691" w:hRule="atLeast"/>
        </w:trPr>
        <w:tc>
          <w:tcPr>
            <w:tcW w:type="pct" w:w="1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r>
      <w:tr>
        <w:trPr>
          <w:cantSplit/>
          <w:trHeight w:val="691" w:hRule="atLeast"/>
        </w:trPr>
        <w:tc>
          <w:tcPr>
            <w:tcW w:type="pct" w:w="1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r>
      <w:tr>
        <w:trPr>
          <w:cantSplit/>
          <w:trHeight w:val="691" w:hRule="atLeast"/>
        </w:trPr>
        <w:tc>
          <w:tcPr>
            <w:tcW w:type="pct" w:w="1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r>
    </w:tbl>
    <w:p>
      <w:pPr>
        <w:spacing w:after="60"/>
      </w:pP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rPr>
          <w:cantSplit/>
        </w:trPr>
        <w:tc>
          <w:tcPr>
            <w:tcW w:type="pct" w:w="33%"/>
            <w:tcBorders>
              <w:top w:val="none" w:color="FFFFFF" w:sz="0"/>
              <w:left w:val="none" w:color="FFFFFF" w:sz="0"/>
              <w:bottom w:val="single" w:color="555555" w:sz="6"/>
              <w:right w:val="none" w:color="FFFFFF" w:sz="0"/>
            </w:tcBorders>
          </w:tcPr>
          <w:p>
            <w:r>
              <w:rPr>
                <w:color w:val="333333"/>
                <w:sz w:val="16"/>
                <w:szCs w:val="16"/>
              </w:rPr>
              <w:t xml:space="preserve">Available duty minutes</w:t>
            </w:r>
          </w:p>
          <w:p>
            <w:pPr>
              <w:spacing w:line="420"/>
            </w:pPr>
          </w:p>
        </w:tc>
        <w:tc>
          <w:tcPr>
            <w:tcW w:type="pct" w:w="33%"/>
            <w:tcBorders>
              <w:top w:val="none" w:color="FFFFFF" w:sz="0"/>
              <w:left w:val="none" w:color="FFFFFF" w:sz="0"/>
              <w:bottom w:val="single" w:color="555555" w:sz="6"/>
              <w:right w:val="none" w:color="FFFFFF" w:sz="0"/>
            </w:tcBorders>
          </w:tcPr>
          <w:p>
            <w:r>
              <w:rPr>
                <w:color w:val="333333"/>
                <w:sz w:val="16"/>
                <w:szCs w:val="16"/>
              </w:rPr>
              <w:t xml:space="preserve">Listed duty minutes</w:t>
            </w:r>
          </w:p>
          <w:p>
            <w:pPr>
              <w:spacing w:line="420"/>
            </w:pPr>
          </w:p>
        </w:tc>
        <w:tc>
          <w:tcPr>
            <w:tcW w:type="pct" w:w="33%"/>
            <w:tcBorders>
              <w:top w:val="none" w:color="FFFFFF" w:sz="0"/>
              <w:left w:val="none" w:color="FFFFFF" w:sz="0"/>
              <w:bottom w:val="single" w:color="555555" w:sz="6"/>
              <w:right w:val="none" w:color="FFFFFF" w:sz="0"/>
            </w:tcBorders>
          </w:tcPr>
          <w:p>
            <w:r>
              <w:rPr>
                <w:color w:val="333333"/>
                <w:sz w:val="16"/>
                <w:szCs w:val="16"/>
              </w:rPr>
              <w:t xml:space="preserve">Remaining / gap minutes</w:t>
            </w:r>
          </w:p>
          <w:p>
            <w:pPr>
              <w:spacing w:line="420"/>
            </w:p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Actual outside-hours observation, if recorded; duration and source</w:t>
            </w:r>
          </w:p>
          <w:p>
            <w:pPr>
              <w:spacing w:line="432"/>
            </w:pPr>
          </w:p>
        </w:tc>
      </w:tr>
    </w:tbl>
    <w:p>
      <w:pPr>
        <w:spacing w:after="20" w:before="0"/>
      </w:pPr>
    </w:p>
    <w:p>
      <w:pPr>
        <w:spacing w:after="100" w:before="100"/>
      </w:pPr>
      <w:r>
        <w:rPr>
          <w:color w:val="333333"/>
          <w:sz w:val="17"/>
          <w:szCs w:val="17"/>
        </w:rPr>
        <w:t xml:space="preserve">Available duty time is paid time minus the protected blocks defined above. A forecast gap does not prove actual outside-hours work. Clinical and staffing decisions remain with the responsible professionals.</w:t>
      </w:r>
    </w:p>
    <w:p>
      <w:pPr>
        <w:keepNext/>
        <w:pageBreakBefore/>
        <w:spacing w:after="60" w:before="240"/>
      </w:pPr>
      <w:r>
        <w:rPr>
          <w:b/>
          <w:bCs/>
          <w:sz w:val="22"/>
          <w:szCs w:val="22"/>
        </w:rPr>
        <w:t xml:space="preserve">Scenario and constraint review</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rPr>
          <w:cantSplit/>
        </w:trPr>
        <w:tc>
          <w:tcPr>
            <w:tcW w:type="pct" w:w="33%"/>
            <w:tcBorders>
              <w:top w:val="none" w:color="FFFFFF" w:sz="0"/>
              <w:left w:val="none" w:color="FFFFFF" w:sz="0"/>
              <w:bottom w:val="single" w:color="555555" w:sz="6"/>
              <w:right w:val="none" w:color="FFFFFF" w:sz="0"/>
            </w:tcBorders>
          </w:tcPr>
          <w:p>
            <w:r>
              <w:rPr>
                <w:color w:val="333333"/>
                <w:sz w:val="16"/>
                <w:szCs w:val="16"/>
              </w:rPr>
              <w:t xml:space="preserve">Visit minutes</w:t>
            </w:r>
          </w:p>
          <w:p>
            <w:pPr>
              <w:spacing w:line="420"/>
            </w:pPr>
          </w:p>
        </w:tc>
        <w:tc>
          <w:tcPr>
            <w:tcW w:type="pct" w:w="33%"/>
            <w:tcBorders>
              <w:top w:val="none" w:color="FFFFFF" w:sz="0"/>
              <w:left w:val="none" w:color="FFFFFF" w:sz="0"/>
              <w:bottom w:val="single" w:color="555555" w:sz="6"/>
              <w:right w:val="none" w:color="FFFFFF" w:sz="0"/>
            </w:tcBorders>
          </w:tcPr>
          <w:p>
            <w:r>
              <w:rPr>
                <w:color w:val="333333"/>
                <w:sz w:val="16"/>
                <w:szCs w:val="16"/>
              </w:rPr>
              <w:t xml:space="preserve">Documentation minutes</w:t>
            </w:r>
          </w:p>
          <w:p>
            <w:pPr>
              <w:spacing w:line="420"/>
            </w:pPr>
          </w:p>
        </w:tc>
        <w:tc>
          <w:tcPr>
            <w:tcW w:type="pct" w:w="33%"/>
            <w:tcBorders>
              <w:top w:val="none" w:color="FFFFFF" w:sz="0"/>
              <w:left w:val="none" w:color="FFFFFF" w:sz="0"/>
              <w:bottom w:val="single" w:color="555555" w:sz="6"/>
              <w:right w:val="none" w:color="FFFFFF" w:sz="0"/>
            </w:tcBorders>
          </w:tcPr>
          <w:p>
            <w:r>
              <w:rPr>
                <w:color w:val="333333"/>
                <w:sz w:val="16"/>
                <w:szCs w:val="16"/>
              </w:rPr>
              <w:t xml:space="preserve">Room turnover minutes</w:t>
            </w:r>
          </w:p>
          <w:p>
            <w:pPr>
              <w:spacing w:line="420"/>
            </w:pPr>
          </w:p>
        </w:tc>
      </w:tr>
    </w:tbl>
    <w:p>
      <w:pPr>
        <w:spacing w:after="60"/>
      </w:pPr>
    </w:p>
    <w:p>
      <w:pPr>
        <w:keepNext/>
        <w:spacing w:after="60" w:before="240"/>
      </w:pPr>
      <w:r>
        <w:rPr>
          <w:b/>
          <w:bCs/>
          <w:sz w:val="22"/>
          <w:szCs w:val="22"/>
        </w:rPr>
        <w:t xml:space="preserve">Inspect each input and unresolved constraint</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4"/>
        <w:gridCol w:w="2131"/>
        <w:gridCol w:w="2131"/>
        <w:gridCol w:w="4049"/>
      </w:tblGrid>
      <w:tr>
        <w:trPr>
          <w:cantSplit/>
          <w:tblHeader/>
        </w:trPr>
        <w:tc>
          <w:tcPr>
            <w:tcW w:type="pct" w:w="22%"/>
            <w:tcBorders>
              <w:top w:val="single" w:color="555555" w:sz="6"/>
              <w:left w:val="single" w:color="555555" w:sz="6"/>
              <w:bottom w:val="single" w:color="555555" w:sz="6"/>
              <w:right w:val="single" w:color="555555" w:sz="6"/>
            </w:tcBorders>
            <w:shd w:fill="EEF0F2" w:color="auto" w:val="clear"/>
          </w:tcPr>
          <w:p>
            <w:r>
              <w:rPr>
                <w:b/>
                <w:bCs/>
                <w:sz w:val="16"/>
                <w:szCs w:val="16"/>
              </w:rPr>
              <w:t xml:space="preserve">Constraint</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Baseline input</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Proposed input</w:t>
            </w:r>
          </w:p>
        </w:tc>
        <w:tc>
          <w:tcPr>
            <w:tcW w:type="pct" w:w="38%"/>
            <w:tcBorders>
              <w:top w:val="single" w:color="555555" w:sz="6"/>
              <w:left w:val="single" w:color="555555" w:sz="6"/>
              <w:bottom w:val="single" w:color="555555" w:sz="6"/>
              <w:right w:val="single" w:color="555555" w:sz="6"/>
            </w:tcBorders>
            <w:shd w:fill="EEF0F2" w:color="auto" w:val="clear"/>
          </w:tcPr>
          <w:p>
            <w:r>
              <w:rPr>
                <w:b/>
                <w:bCs/>
                <w:sz w:val="16"/>
                <w:szCs w:val="16"/>
              </w:rPr>
              <w:t xml:space="preserve">Evidence / unresolved question</w:t>
            </w:r>
          </w:p>
        </w:tc>
      </w:tr>
      <w:tr>
        <w:trPr>
          <w:cantSplit/>
          <w:trHeight w:val="792" w:hRule="atLeast"/>
        </w:trPr>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38%"/>
            <w:tcBorders>
              <w:top w:val="single" w:color="555555" w:sz="6"/>
              <w:left w:val="single" w:color="555555" w:sz="6"/>
              <w:bottom w:val="single" w:color="555555" w:sz="6"/>
              <w:right w:val="single" w:color="555555" w:sz="6"/>
            </w:tcBorders>
          </w:tcPr>
          <w:p/>
        </w:tc>
      </w:tr>
      <w:tr>
        <w:trPr>
          <w:cantSplit/>
          <w:trHeight w:val="792" w:hRule="atLeast"/>
        </w:trPr>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38%"/>
            <w:tcBorders>
              <w:top w:val="single" w:color="555555" w:sz="6"/>
              <w:left w:val="single" w:color="555555" w:sz="6"/>
              <w:bottom w:val="single" w:color="555555" w:sz="6"/>
              <w:right w:val="single" w:color="555555" w:sz="6"/>
            </w:tcBorders>
          </w:tcPr>
          <w:p/>
        </w:tc>
      </w:tr>
      <w:tr>
        <w:trPr>
          <w:cantSplit/>
          <w:trHeight w:val="792" w:hRule="atLeast"/>
        </w:trPr>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38%"/>
            <w:tcBorders>
              <w:top w:val="single" w:color="555555" w:sz="6"/>
              <w:left w:val="single" w:color="555555" w:sz="6"/>
              <w:bottom w:val="single" w:color="555555" w:sz="6"/>
              <w:right w:val="single" w:color="555555" w:sz="6"/>
            </w:tcBorders>
          </w:tcPr>
          <w:p/>
        </w:tc>
      </w:tr>
      <w:tr>
        <w:trPr>
          <w:cantSplit/>
          <w:trHeight w:val="792" w:hRule="atLeast"/>
        </w:trPr>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38%"/>
            <w:tcBorders>
              <w:top w:val="single" w:color="555555" w:sz="6"/>
              <w:left w:val="single" w:color="555555" w:sz="6"/>
              <w:bottom w:val="single" w:color="555555" w:sz="6"/>
              <w:right w:val="single" w:color="555555" w:sz="6"/>
            </w:tcBorders>
          </w:tcPr>
          <w:p/>
        </w:tc>
      </w:tr>
    </w:tbl>
    <w:p>
      <w:pPr>
        <w:spacing w:after="60"/>
      </w:pPr>
    </w:p>
    <w:p>
      <w:pPr>
        <w:spacing w:after="100" w:before="100"/>
      </w:pPr>
      <w:r>
        <w:rPr>
          <w:color w:val="333333"/>
          <w:sz w:val="17"/>
          <w:szCs w:val="17"/>
        </w:rPr>
        <w:t xml:space="preserve">Consider service eligibility, clinician windows, protected time, eligible rooms, turnover and family availability. A pooled capacity ceiling is not a feasible appointment schedule.</w:t>
      </w:r>
    </w:p>
    <w:p>
      <w:pPr>
        <w:keepNext/>
        <w:spacing w:after="60" w:before="240"/>
      </w:pPr>
      <w:r>
        <w:rPr>
          <w:b/>
          <w:bCs/>
          <w:sz w:val="22"/>
          <w:szCs w:val="22"/>
        </w:rPr>
        <w:t xml:space="preserve">Decision and follow-up</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31"/>
        <w:gridCol w:w="3197"/>
        <w:gridCol w:w="2664"/>
        <w:gridCol w:w="2664"/>
      </w:tblGrid>
      <w:tr>
        <w:trPr>
          <w:cantSplit/>
          <w:tblHeader/>
        </w:trPr>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Issue / scenario ref</w:t>
            </w:r>
          </w:p>
        </w:tc>
        <w:tc>
          <w:tcPr>
            <w:tcW w:type="pct" w:w="30%"/>
            <w:tcBorders>
              <w:top w:val="single" w:color="555555" w:sz="6"/>
              <w:left w:val="single" w:color="555555" w:sz="6"/>
              <w:bottom w:val="single" w:color="555555" w:sz="6"/>
              <w:right w:val="single" w:color="555555" w:sz="6"/>
            </w:tcBorders>
            <w:shd w:fill="EEF0F2" w:color="auto" w:val="clear"/>
          </w:tcPr>
          <w:p>
            <w:r>
              <w:rPr>
                <w:b/>
                <w:bCs/>
                <w:sz w:val="16"/>
                <w:szCs w:val="16"/>
              </w:rPr>
              <w:t xml:space="preserve">Action</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Owner / due date</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Recheck evidence / outcome</w:t>
            </w:r>
          </w:p>
        </w:tc>
      </w:tr>
      <w:tr>
        <w:trPr>
          <w:cantSplit/>
          <w:trHeight w:val="648" w:hRule="atLeast"/>
        </w:trPr>
        <w:tc>
          <w:tcPr>
            <w:tcW w:type="pct" w:w="20%"/>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648" w:hRule="atLeast"/>
        </w:trPr>
        <w:tc>
          <w:tcPr>
            <w:tcW w:type="pct" w:w="20%"/>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648" w:hRule="atLeast"/>
        </w:trPr>
        <w:tc>
          <w:tcPr>
            <w:tcW w:type="pct" w:w="20%"/>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648" w:hRule="atLeast"/>
        </w:trPr>
        <w:tc>
          <w:tcPr>
            <w:tcW w:type="pct" w:w="20%"/>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bl>
    <w:p>
      <w:pPr>
        <w:spacing w:after="60"/>
      </w:pPr>
    </w:p>
    <w:p>
      <w:pPr>
        <w:spacing w:after="100" w:before="100"/>
      </w:pPr>
      <w:r>
        <w:rPr>
          <w:color w:val="333333"/>
          <w:sz w:val="17"/>
          <w:szCs w:val="17"/>
        </w:rPr>
        <w:t xml:space="preserve">Useful companion tools: therapist workload audit, clinic capacity planner and schedule feasibility checker at therapycrm.io/tools. Use aggregate business values; retain individual records in the clinic’s approved system.</w:t>
      </w: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therapycrm.io/guides/therapy-caseload-capacity-planning</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Clinic workload and capacity review</w:t>
    </w:r>
  </w:p>
  <w:p>
    <w:r>
      <w:rPr>
        <w:color w:val="333333"/>
        <w:sz w:val="16"/>
        <w:szCs w:val="16"/>
      </w:rPr>
      <w:t xml:space="preserve">Planning week: __________________     Role / worksheet version: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 workload and capacity review</dc:title>
  <dc:creator>TherapyCRM</dc:creator>
  <dc:description>Plan one week using distinct time categories, then review staff, room and schedule constraints.</dc:description>
  <cp:lastModifiedBy>Un-named</cp:lastModifiedBy>
  <cp:revision>1</cp:revision>
  <dcterms:created xsi:type="dcterms:W3CDTF">2026-10-10T07:11:06.279Z</dcterms:created>
  <dcterms:modified xsi:type="dcterms:W3CDTF">2026-10-10T07:11:06.279Z</dcterms:modified>
</cp:coreProperties>
</file>

<file path=docProps/custom.xml><?xml version="1.0" encoding="utf-8"?>
<Properties xmlns="http://schemas.openxmlformats.org/officeDocument/2006/custom-properties" xmlns:vt="http://schemas.openxmlformats.org/officeDocument/2006/docPropsVTypes"/>
</file>