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left"/>
      </w:pPr>
      <w:r>
        <w:rPr>
          <w:b/>
          <w:bCs/>
          <w:color w:val="000000"/>
          <w:sz w:val="34"/>
          <w:szCs w:val="34"/>
        </w:rPr>
        <w:t xml:space="preserve">Task analysis and chaining record</w:t>
      </w:r>
    </w:p>
    <w:p>
      <w:pPr>
        <w:spacing w:after="160"/>
      </w:pPr>
      <w:r>
        <w:rPr>
          <w:color w:val="444444"/>
          <w:sz w:val="18"/>
          <w:szCs w:val="18"/>
        </w:rPr>
        <w:t xml:space="preserve">Keep step order, definition version, genuine opportunities and actual support visible.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Meaningful activity / start and finish conditions</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Allowed accommodations / existing teaching arrangement</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Result key / participation and interruption rules</w:t>
            </w:r>
          </w:p>
          <w:p>
            <w:pPr>
              <w:spacing w:line="432"/>
            </w:pPr>
          </w:p>
        </w:tc>
      </w:tr>
    </w:tbl>
    <w:p>
      <w:pPr>
        <w:spacing w:after="20" w:before="0"/>
      </w:pPr>
    </w:p>
    <w:p>
      <w:pPr>
        <w:keepNext/>
        <w:spacing w:after="60" w:before="240"/>
      </w:pPr>
      <w:r>
        <w:rPr>
          <w:b/>
          <w:bCs/>
          <w:sz w:val="22"/>
          <w:szCs w:val="22"/>
        </w:rPr>
        <w:t xml:space="preserve">One result per defined step and observation</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40"/>
        <w:gridCol w:w="3594"/>
        <w:gridCol w:w="2114"/>
        <w:gridCol w:w="4207"/>
      </w:tblGrid>
      <w:tr>
        <w:trPr>
          <w:cantSplit/>
          <w:tblHeader/>
        </w:trPr>
        <w:tc>
          <w:tcPr>
            <w:tcW w:type="pct" w:w="6.944444444444445%"/>
            <w:tcBorders>
              <w:top w:val="single" w:color="555555" w:sz="6"/>
              <w:left w:val="single" w:color="555555" w:sz="6"/>
              <w:bottom w:val="single" w:color="555555" w:sz="6"/>
              <w:right w:val="single" w:color="555555" w:sz="6"/>
            </w:tcBorders>
            <w:shd w:fill="EEF0F2" w:color="auto" w:val="clear"/>
          </w:tcPr>
          <w:p>
            <w:r>
              <w:rPr>
                <w:b/>
                <w:bCs/>
                <w:sz w:val="16"/>
                <w:szCs w:val="16"/>
              </w:rPr>
              <w:t xml:space="preserve">Step</w:t>
            </w:r>
          </w:p>
        </w:tc>
        <w:tc>
          <w:tcPr>
            <w:tcW w:type="pct" w:w="33.730158730158735%"/>
            <w:tcBorders>
              <w:top w:val="single" w:color="555555" w:sz="6"/>
              <w:left w:val="single" w:color="555555" w:sz="6"/>
              <w:bottom w:val="single" w:color="555555" w:sz="6"/>
              <w:right w:val="single" w:color="555555" w:sz="6"/>
            </w:tcBorders>
            <w:shd w:fill="EEF0F2" w:color="auto" w:val="clear"/>
          </w:tcPr>
          <w:p>
            <w:r>
              <w:rPr>
                <w:b/>
                <w:bCs/>
                <w:sz w:val="16"/>
                <w:szCs w:val="16"/>
              </w:rPr>
              <w:t xml:space="preserve">Observable action</w:t>
            </w:r>
          </w:p>
        </w:tc>
        <w:tc>
          <w:tcPr>
            <w:tcW w:type="pct" w:w="19.841269841269842%"/>
            <w:tcBorders>
              <w:top w:val="single" w:color="555555" w:sz="6"/>
              <w:left w:val="single" w:color="555555" w:sz="6"/>
              <w:bottom w:val="single" w:color="555555" w:sz="6"/>
              <w:right w:val="single" w:color="555555" w:sz="6"/>
            </w:tcBorders>
            <w:shd w:fill="EEF0F2" w:color="auto" w:val="clear"/>
          </w:tcPr>
          <w:p>
            <w:r>
              <w:rPr>
                <w:b/>
                <w:bCs/>
                <w:sz w:val="16"/>
                <w:szCs w:val="16"/>
              </w:rPr>
              <w:t xml:space="preserve">Result</w:t>
            </w:r>
          </w:p>
        </w:tc>
        <w:tc>
          <w:tcPr>
            <w:tcW w:type="pct" w:w="39.48412698412698%"/>
            <w:tcBorders>
              <w:top w:val="single" w:color="555555" w:sz="6"/>
              <w:left w:val="single" w:color="555555" w:sz="6"/>
              <w:bottom w:val="single" w:color="555555" w:sz="6"/>
              <w:right w:val="single" w:color="555555" w:sz="6"/>
            </w:tcBorders>
            <w:shd w:fill="EEF0F2" w:color="auto" w:val="clear"/>
          </w:tcPr>
          <w:p>
            <w:r>
              <w:rPr>
                <w:b/>
                <w:bCs/>
                <w:sz w:val="16"/>
                <w:szCs w:val="16"/>
              </w:rPr>
              <w:t xml:space="preserve">Additional support / context</w:t>
            </w:r>
          </w:p>
        </w:tc>
      </w:tr>
      <w:tr>
        <w:trPr>
          <w:cantSplit/>
          <w:trHeight w:val="480" w:hRule="atLeast"/>
        </w:trPr>
        <w:tc>
          <w:tcPr>
            <w:tcW w:type="pct" w:w="6.944444444444445%"/>
            <w:tcBorders>
              <w:top w:val="single" w:color="555555" w:sz="6"/>
              <w:left w:val="single" w:color="555555" w:sz="6"/>
              <w:bottom w:val="single" w:color="555555" w:sz="6"/>
              <w:right w:val="single" w:color="555555" w:sz="6"/>
            </w:tcBorders>
          </w:tcPr>
          <w:p/>
        </w:tc>
        <w:tc>
          <w:tcPr>
            <w:tcW w:type="pct" w:w="33.730158730158735%"/>
            <w:tcBorders>
              <w:top w:val="single" w:color="555555" w:sz="6"/>
              <w:left w:val="single" w:color="555555" w:sz="6"/>
              <w:bottom w:val="single" w:color="555555" w:sz="6"/>
              <w:right w:val="single" w:color="555555" w:sz="6"/>
            </w:tcBorders>
          </w:tcPr>
          <w:p/>
        </w:tc>
        <w:tc>
          <w:tcPr>
            <w:tcW w:type="pct" w:w="19.841269841269842%"/>
            <w:tcBorders>
              <w:top w:val="single" w:color="555555" w:sz="6"/>
              <w:left w:val="single" w:color="555555" w:sz="6"/>
              <w:bottom w:val="single" w:color="555555" w:sz="6"/>
              <w:right w:val="single" w:color="555555" w:sz="6"/>
            </w:tcBorders>
          </w:tcPr>
          <w:p/>
        </w:tc>
        <w:tc>
          <w:tcPr>
            <w:tcW w:type="pct" w:w="39.48412698412698%"/>
            <w:tcBorders>
              <w:top w:val="single" w:color="555555" w:sz="6"/>
              <w:left w:val="single" w:color="555555" w:sz="6"/>
              <w:bottom w:val="single" w:color="555555" w:sz="6"/>
              <w:right w:val="single" w:color="555555" w:sz="6"/>
            </w:tcBorders>
          </w:tcPr>
          <w:p/>
        </w:tc>
      </w:tr>
      <w:tr>
        <w:trPr>
          <w:cantSplit/>
          <w:trHeight w:val="480" w:hRule="atLeast"/>
        </w:trPr>
        <w:tc>
          <w:tcPr>
            <w:tcW w:type="pct" w:w="6.944444444444445%"/>
            <w:tcBorders>
              <w:top w:val="single" w:color="555555" w:sz="6"/>
              <w:left w:val="single" w:color="555555" w:sz="6"/>
              <w:bottom w:val="single" w:color="555555" w:sz="6"/>
              <w:right w:val="single" w:color="555555" w:sz="6"/>
            </w:tcBorders>
          </w:tcPr>
          <w:p/>
        </w:tc>
        <w:tc>
          <w:tcPr>
            <w:tcW w:type="pct" w:w="33.730158730158735%"/>
            <w:tcBorders>
              <w:top w:val="single" w:color="555555" w:sz="6"/>
              <w:left w:val="single" w:color="555555" w:sz="6"/>
              <w:bottom w:val="single" w:color="555555" w:sz="6"/>
              <w:right w:val="single" w:color="555555" w:sz="6"/>
            </w:tcBorders>
          </w:tcPr>
          <w:p/>
        </w:tc>
        <w:tc>
          <w:tcPr>
            <w:tcW w:type="pct" w:w="19.841269841269842%"/>
            <w:tcBorders>
              <w:top w:val="single" w:color="555555" w:sz="6"/>
              <w:left w:val="single" w:color="555555" w:sz="6"/>
              <w:bottom w:val="single" w:color="555555" w:sz="6"/>
              <w:right w:val="single" w:color="555555" w:sz="6"/>
            </w:tcBorders>
          </w:tcPr>
          <w:p/>
        </w:tc>
        <w:tc>
          <w:tcPr>
            <w:tcW w:type="pct" w:w="39.48412698412698%"/>
            <w:tcBorders>
              <w:top w:val="single" w:color="555555" w:sz="6"/>
              <w:left w:val="single" w:color="555555" w:sz="6"/>
              <w:bottom w:val="single" w:color="555555" w:sz="6"/>
              <w:right w:val="single" w:color="555555" w:sz="6"/>
            </w:tcBorders>
          </w:tcPr>
          <w:p/>
        </w:tc>
      </w:tr>
      <w:tr>
        <w:trPr>
          <w:cantSplit/>
          <w:trHeight w:val="480" w:hRule="atLeast"/>
        </w:trPr>
        <w:tc>
          <w:tcPr>
            <w:tcW w:type="pct" w:w="6.944444444444445%"/>
            <w:tcBorders>
              <w:top w:val="single" w:color="555555" w:sz="6"/>
              <w:left w:val="single" w:color="555555" w:sz="6"/>
              <w:bottom w:val="single" w:color="555555" w:sz="6"/>
              <w:right w:val="single" w:color="555555" w:sz="6"/>
            </w:tcBorders>
          </w:tcPr>
          <w:p/>
        </w:tc>
        <w:tc>
          <w:tcPr>
            <w:tcW w:type="pct" w:w="33.730158730158735%"/>
            <w:tcBorders>
              <w:top w:val="single" w:color="555555" w:sz="6"/>
              <w:left w:val="single" w:color="555555" w:sz="6"/>
              <w:bottom w:val="single" w:color="555555" w:sz="6"/>
              <w:right w:val="single" w:color="555555" w:sz="6"/>
            </w:tcBorders>
          </w:tcPr>
          <w:p/>
        </w:tc>
        <w:tc>
          <w:tcPr>
            <w:tcW w:type="pct" w:w="19.841269841269842%"/>
            <w:tcBorders>
              <w:top w:val="single" w:color="555555" w:sz="6"/>
              <w:left w:val="single" w:color="555555" w:sz="6"/>
              <w:bottom w:val="single" w:color="555555" w:sz="6"/>
              <w:right w:val="single" w:color="555555" w:sz="6"/>
            </w:tcBorders>
          </w:tcPr>
          <w:p/>
        </w:tc>
        <w:tc>
          <w:tcPr>
            <w:tcW w:type="pct" w:w="39.48412698412698%"/>
            <w:tcBorders>
              <w:top w:val="single" w:color="555555" w:sz="6"/>
              <w:left w:val="single" w:color="555555" w:sz="6"/>
              <w:bottom w:val="single" w:color="555555" w:sz="6"/>
              <w:right w:val="single" w:color="555555" w:sz="6"/>
            </w:tcBorders>
          </w:tcPr>
          <w:p/>
        </w:tc>
      </w:tr>
      <w:tr>
        <w:trPr>
          <w:cantSplit/>
          <w:trHeight w:val="480" w:hRule="atLeast"/>
        </w:trPr>
        <w:tc>
          <w:tcPr>
            <w:tcW w:type="pct" w:w="6.944444444444445%"/>
            <w:tcBorders>
              <w:top w:val="single" w:color="555555" w:sz="6"/>
              <w:left w:val="single" w:color="555555" w:sz="6"/>
              <w:bottom w:val="single" w:color="555555" w:sz="6"/>
              <w:right w:val="single" w:color="555555" w:sz="6"/>
            </w:tcBorders>
          </w:tcPr>
          <w:p/>
        </w:tc>
        <w:tc>
          <w:tcPr>
            <w:tcW w:type="pct" w:w="33.730158730158735%"/>
            <w:tcBorders>
              <w:top w:val="single" w:color="555555" w:sz="6"/>
              <w:left w:val="single" w:color="555555" w:sz="6"/>
              <w:bottom w:val="single" w:color="555555" w:sz="6"/>
              <w:right w:val="single" w:color="555555" w:sz="6"/>
            </w:tcBorders>
          </w:tcPr>
          <w:p/>
        </w:tc>
        <w:tc>
          <w:tcPr>
            <w:tcW w:type="pct" w:w="19.841269841269842%"/>
            <w:tcBorders>
              <w:top w:val="single" w:color="555555" w:sz="6"/>
              <w:left w:val="single" w:color="555555" w:sz="6"/>
              <w:bottom w:val="single" w:color="555555" w:sz="6"/>
              <w:right w:val="single" w:color="555555" w:sz="6"/>
            </w:tcBorders>
          </w:tcPr>
          <w:p/>
        </w:tc>
        <w:tc>
          <w:tcPr>
            <w:tcW w:type="pct" w:w="39.48412698412698%"/>
            <w:tcBorders>
              <w:top w:val="single" w:color="555555" w:sz="6"/>
              <w:left w:val="single" w:color="555555" w:sz="6"/>
              <w:bottom w:val="single" w:color="555555" w:sz="6"/>
              <w:right w:val="single" w:color="555555" w:sz="6"/>
            </w:tcBorders>
          </w:tcPr>
          <w:p/>
        </w:tc>
      </w:tr>
      <w:tr>
        <w:trPr>
          <w:cantSplit/>
          <w:trHeight w:val="480" w:hRule="atLeast"/>
        </w:trPr>
        <w:tc>
          <w:tcPr>
            <w:tcW w:type="pct" w:w="6.944444444444445%"/>
            <w:tcBorders>
              <w:top w:val="single" w:color="555555" w:sz="6"/>
              <w:left w:val="single" w:color="555555" w:sz="6"/>
              <w:bottom w:val="single" w:color="555555" w:sz="6"/>
              <w:right w:val="single" w:color="555555" w:sz="6"/>
            </w:tcBorders>
          </w:tcPr>
          <w:p/>
        </w:tc>
        <w:tc>
          <w:tcPr>
            <w:tcW w:type="pct" w:w="33.730158730158735%"/>
            <w:tcBorders>
              <w:top w:val="single" w:color="555555" w:sz="6"/>
              <w:left w:val="single" w:color="555555" w:sz="6"/>
              <w:bottom w:val="single" w:color="555555" w:sz="6"/>
              <w:right w:val="single" w:color="555555" w:sz="6"/>
            </w:tcBorders>
          </w:tcPr>
          <w:p/>
        </w:tc>
        <w:tc>
          <w:tcPr>
            <w:tcW w:type="pct" w:w="19.841269841269842%"/>
            <w:tcBorders>
              <w:top w:val="single" w:color="555555" w:sz="6"/>
              <w:left w:val="single" w:color="555555" w:sz="6"/>
              <w:bottom w:val="single" w:color="555555" w:sz="6"/>
              <w:right w:val="single" w:color="555555" w:sz="6"/>
            </w:tcBorders>
          </w:tcPr>
          <w:p/>
        </w:tc>
        <w:tc>
          <w:tcPr>
            <w:tcW w:type="pct" w:w="39.48412698412698%"/>
            <w:tcBorders>
              <w:top w:val="single" w:color="555555" w:sz="6"/>
              <w:left w:val="single" w:color="555555" w:sz="6"/>
              <w:bottom w:val="single" w:color="555555" w:sz="6"/>
              <w:right w:val="single" w:color="555555" w:sz="6"/>
            </w:tcBorders>
          </w:tcPr>
          <w:p/>
        </w:tc>
      </w:tr>
      <w:tr>
        <w:trPr>
          <w:cantSplit/>
          <w:trHeight w:val="480" w:hRule="atLeast"/>
        </w:trPr>
        <w:tc>
          <w:tcPr>
            <w:tcW w:type="pct" w:w="6.944444444444445%"/>
            <w:tcBorders>
              <w:top w:val="single" w:color="555555" w:sz="6"/>
              <w:left w:val="single" w:color="555555" w:sz="6"/>
              <w:bottom w:val="single" w:color="555555" w:sz="6"/>
              <w:right w:val="single" w:color="555555" w:sz="6"/>
            </w:tcBorders>
          </w:tcPr>
          <w:p/>
        </w:tc>
        <w:tc>
          <w:tcPr>
            <w:tcW w:type="pct" w:w="33.730158730158735%"/>
            <w:tcBorders>
              <w:top w:val="single" w:color="555555" w:sz="6"/>
              <w:left w:val="single" w:color="555555" w:sz="6"/>
              <w:bottom w:val="single" w:color="555555" w:sz="6"/>
              <w:right w:val="single" w:color="555555" w:sz="6"/>
            </w:tcBorders>
          </w:tcPr>
          <w:p/>
        </w:tc>
        <w:tc>
          <w:tcPr>
            <w:tcW w:type="pct" w:w="19.841269841269842%"/>
            <w:tcBorders>
              <w:top w:val="single" w:color="555555" w:sz="6"/>
              <w:left w:val="single" w:color="555555" w:sz="6"/>
              <w:bottom w:val="single" w:color="555555" w:sz="6"/>
              <w:right w:val="single" w:color="555555" w:sz="6"/>
            </w:tcBorders>
          </w:tcPr>
          <w:p/>
        </w:tc>
        <w:tc>
          <w:tcPr>
            <w:tcW w:type="pct" w:w="39.48412698412698%"/>
            <w:tcBorders>
              <w:top w:val="single" w:color="555555" w:sz="6"/>
              <w:left w:val="single" w:color="555555" w:sz="6"/>
              <w:bottom w:val="single" w:color="555555" w:sz="6"/>
              <w:right w:val="single" w:color="555555" w:sz="6"/>
            </w:tcBorders>
          </w:tcPr>
          <w:p/>
        </w:tc>
      </w:tr>
      <w:tr>
        <w:trPr>
          <w:cantSplit/>
          <w:trHeight w:val="480" w:hRule="atLeast"/>
        </w:trPr>
        <w:tc>
          <w:tcPr>
            <w:tcW w:type="pct" w:w="6.944444444444445%"/>
            <w:tcBorders>
              <w:top w:val="single" w:color="555555" w:sz="6"/>
              <w:left w:val="single" w:color="555555" w:sz="6"/>
              <w:bottom w:val="single" w:color="555555" w:sz="6"/>
              <w:right w:val="single" w:color="555555" w:sz="6"/>
            </w:tcBorders>
          </w:tcPr>
          <w:p/>
        </w:tc>
        <w:tc>
          <w:tcPr>
            <w:tcW w:type="pct" w:w="33.730158730158735%"/>
            <w:tcBorders>
              <w:top w:val="single" w:color="555555" w:sz="6"/>
              <w:left w:val="single" w:color="555555" w:sz="6"/>
              <w:bottom w:val="single" w:color="555555" w:sz="6"/>
              <w:right w:val="single" w:color="555555" w:sz="6"/>
            </w:tcBorders>
          </w:tcPr>
          <w:p/>
        </w:tc>
        <w:tc>
          <w:tcPr>
            <w:tcW w:type="pct" w:w="19.841269841269842%"/>
            <w:tcBorders>
              <w:top w:val="single" w:color="555555" w:sz="6"/>
              <w:left w:val="single" w:color="555555" w:sz="6"/>
              <w:bottom w:val="single" w:color="555555" w:sz="6"/>
              <w:right w:val="single" w:color="555555" w:sz="6"/>
            </w:tcBorders>
          </w:tcPr>
          <w:p/>
        </w:tc>
        <w:tc>
          <w:tcPr>
            <w:tcW w:type="pct" w:w="39.48412698412698%"/>
            <w:tcBorders>
              <w:top w:val="single" w:color="555555" w:sz="6"/>
              <w:left w:val="single" w:color="555555" w:sz="6"/>
              <w:bottom w:val="single" w:color="555555" w:sz="6"/>
              <w:right w:val="single" w:color="555555" w:sz="6"/>
            </w:tcBorders>
          </w:tcPr>
          <w:p/>
        </w:tc>
      </w:tr>
    </w:tbl>
    <w:p>
      <w:pPr>
        <w:spacing w:after="60"/>
      </w:pPr>
    </w:p>
    <w:p>
      <w:pPr>
        <w:spacing w:after="100" w:before="100"/>
      </w:pPr>
      <w:r>
        <w:rPr>
          <w:color w:val="333333"/>
          <w:sz w:val="17"/>
          <w:szCs w:val="17"/>
        </w:rPr>
        <w:t xml:space="preserve">Result key: independent, assisted, unsuccessful, no opportunity, not observed. A blank result is missing. Never score an adult-completed step as learner independence.</w:t>
      </w:r>
    </w:p>
    <w:p>
      <w:pPr>
        <w:keepNext/>
        <w:pageBreakBefore/>
        <w:spacing w:after="60" w:before="240"/>
      </w:pPr>
      <w:r>
        <w:rPr>
          <w:b/>
          <w:bCs/>
          <w:sz w:val="22"/>
          <w:szCs w:val="22"/>
        </w:rPr>
        <w:t xml:space="preserve">Step pattern and version review</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Observation references / version used</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Independent / assisted / unsuccessful / valid scored opportunities</w:t>
            </w:r>
          </w:p>
          <w:p>
            <w:pPr>
              <w:spacing w:line="432"/>
            </w:pPr>
          </w:p>
        </w:tc>
      </w:tr>
    </w:tbl>
    <w:p>
      <w:pPr>
        <w:spacing w:after="20" w:before="0"/>
      </w:pPr>
    </w:p>
    <w:p>
      <w:pPr>
        <w:keepNext/>
        <w:spacing w:after="60" w:before="240"/>
      </w:pPr>
      <w:r>
        <w:rPr>
          <w:b/>
          <w:bCs/>
          <w:sz w:val="22"/>
          <w:szCs w:val="22"/>
        </w:rPr>
        <w:t xml:space="preserve">Review by step</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91"/>
        <w:gridCol w:w="3489"/>
        <w:gridCol w:w="2854"/>
        <w:gridCol w:w="2622"/>
      </w:tblGrid>
      <w:tr>
        <w:trPr>
          <w:cantSplit/>
          <w:tblHeader/>
        </w:trPr>
        <w:tc>
          <w:tcPr>
            <w:tcW w:type="pct" w:w="15.873015873015872%"/>
            <w:tcBorders>
              <w:top w:val="single" w:color="555555" w:sz="6"/>
              <w:left w:val="single" w:color="555555" w:sz="6"/>
              <w:bottom w:val="single" w:color="555555" w:sz="6"/>
              <w:right w:val="single" w:color="555555" w:sz="6"/>
            </w:tcBorders>
            <w:shd w:fill="EEF0F2" w:color="auto" w:val="clear"/>
          </w:tcPr>
          <w:p>
            <w:r>
              <w:rPr>
                <w:b/>
                <w:bCs/>
                <w:sz w:val="16"/>
                <w:szCs w:val="16"/>
              </w:rPr>
              <w:t xml:space="preserve">Step / version</w:t>
            </w:r>
          </w:p>
        </w:tc>
        <w:tc>
          <w:tcPr>
            <w:tcW w:type="pct" w:w="32.73809523809524%"/>
            <w:tcBorders>
              <w:top w:val="single" w:color="555555" w:sz="6"/>
              <w:left w:val="single" w:color="555555" w:sz="6"/>
              <w:bottom w:val="single" w:color="555555" w:sz="6"/>
              <w:right w:val="single" w:color="555555" w:sz="6"/>
            </w:tcBorders>
            <w:shd w:fill="EEF0F2" w:color="auto" w:val="clear"/>
          </w:tcPr>
          <w:p>
            <w:r>
              <w:rPr>
                <w:b/>
                <w:bCs/>
                <w:sz w:val="16"/>
                <w:szCs w:val="16"/>
              </w:rPr>
              <w:t xml:space="preserve">Pattern / source observations</w:t>
            </w:r>
          </w:p>
        </w:tc>
        <w:tc>
          <w:tcPr>
            <w:tcW w:type="pct" w:w="26.785714285714285%"/>
            <w:tcBorders>
              <w:top w:val="single" w:color="555555" w:sz="6"/>
              <w:left w:val="single" w:color="555555" w:sz="6"/>
              <w:bottom w:val="single" w:color="555555" w:sz="6"/>
              <w:right w:val="single" w:color="555555" w:sz="6"/>
            </w:tcBorders>
            <w:shd w:fill="EEF0F2" w:color="auto" w:val="clear"/>
          </w:tcPr>
          <w:p>
            <w:r>
              <w:rPr>
                <w:b/>
                <w:bCs/>
                <w:sz w:val="16"/>
                <w:szCs w:val="16"/>
              </w:rPr>
              <w:t xml:space="preserve">Missing or no-opportunity coverage</w:t>
            </w:r>
          </w:p>
        </w:tc>
        <w:tc>
          <w:tcPr>
            <w:tcW w:type="pct" w:w="24.6031746031746%"/>
            <w:tcBorders>
              <w:top w:val="single" w:color="555555" w:sz="6"/>
              <w:left w:val="single" w:color="555555" w:sz="6"/>
              <w:bottom w:val="single" w:color="555555" w:sz="6"/>
              <w:right w:val="single" w:color="555555" w:sz="6"/>
            </w:tcBorders>
            <w:shd w:fill="EEF0F2" w:color="auto" w:val="clear"/>
          </w:tcPr>
          <w:p>
            <w:r>
              <w:rPr>
                <w:b/>
                <w:bCs/>
                <w:sz w:val="16"/>
                <w:szCs w:val="16"/>
              </w:rPr>
              <w:t xml:space="preserve">Review question</w:t>
            </w:r>
          </w:p>
        </w:tc>
      </w:tr>
      <w:tr>
        <w:trPr>
          <w:cantSplit/>
          <w:trHeight w:val="480" w:hRule="atLeast"/>
        </w:trPr>
        <w:tc>
          <w:tcPr>
            <w:tcW w:type="pct" w:w="15.873015873015872%"/>
            <w:tcBorders>
              <w:top w:val="single" w:color="555555" w:sz="6"/>
              <w:left w:val="single" w:color="555555" w:sz="6"/>
              <w:bottom w:val="single" w:color="555555" w:sz="6"/>
              <w:right w:val="single" w:color="555555" w:sz="6"/>
            </w:tcBorders>
          </w:tcPr>
          <w:p/>
        </w:tc>
        <w:tc>
          <w:tcPr>
            <w:tcW w:type="pct" w:w="32.73809523809524%"/>
            <w:tcBorders>
              <w:top w:val="single" w:color="555555" w:sz="6"/>
              <w:left w:val="single" w:color="555555" w:sz="6"/>
              <w:bottom w:val="single" w:color="555555" w:sz="6"/>
              <w:right w:val="single" w:color="555555" w:sz="6"/>
            </w:tcBorders>
          </w:tcPr>
          <w:p/>
        </w:tc>
        <w:tc>
          <w:tcPr>
            <w:tcW w:type="pct" w:w="26.785714285714285%"/>
            <w:tcBorders>
              <w:top w:val="single" w:color="555555" w:sz="6"/>
              <w:left w:val="single" w:color="555555" w:sz="6"/>
              <w:bottom w:val="single" w:color="555555" w:sz="6"/>
              <w:right w:val="single" w:color="555555" w:sz="6"/>
            </w:tcBorders>
          </w:tcPr>
          <w:p/>
        </w:tc>
        <w:tc>
          <w:tcPr>
            <w:tcW w:type="pct" w:w="24.6031746031746%"/>
            <w:tcBorders>
              <w:top w:val="single" w:color="555555" w:sz="6"/>
              <w:left w:val="single" w:color="555555" w:sz="6"/>
              <w:bottom w:val="single" w:color="555555" w:sz="6"/>
              <w:right w:val="single" w:color="555555" w:sz="6"/>
            </w:tcBorders>
          </w:tcPr>
          <w:p/>
        </w:tc>
      </w:tr>
      <w:tr>
        <w:trPr>
          <w:cantSplit/>
          <w:trHeight w:val="480" w:hRule="atLeast"/>
        </w:trPr>
        <w:tc>
          <w:tcPr>
            <w:tcW w:type="pct" w:w="15.873015873015872%"/>
            <w:tcBorders>
              <w:top w:val="single" w:color="555555" w:sz="6"/>
              <w:left w:val="single" w:color="555555" w:sz="6"/>
              <w:bottom w:val="single" w:color="555555" w:sz="6"/>
              <w:right w:val="single" w:color="555555" w:sz="6"/>
            </w:tcBorders>
          </w:tcPr>
          <w:p/>
        </w:tc>
        <w:tc>
          <w:tcPr>
            <w:tcW w:type="pct" w:w="32.73809523809524%"/>
            <w:tcBorders>
              <w:top w:val="single" w:color="555555" w:sz="6"/>
              <w:left w:val="single" w:color="555555" w:sz="6"/>
              <w:bottom w:val="single" w:color="555555" w:sz="6"/>
              <w:right w:val="single" w:color="555555" w:sz="6"/>
            </w:tcBorders>
          </w:tcPr>
          <w:p/>
        </w:tc>
        <w:tc>
          <w:tcPr>
            <w:tcW w:type="pct" w:w="26.785714285714285%"/>
            <w:tcBorders>
              <w:top w:val="single" w:color="555555" w:sz="6"/>
              <w:left w:val="single" w:color="555555" w:sz="6"/>
              <w:bottom w:val="single" w:color="555555" w:sz="6"/>
              <w:right w:val="single" w:color="555555" w:sz="6"/>
            </w:tcBorders>
          </w:tcPr>
          <w:p/>
        </w:tc>
        <w:tc>
          <w:tcPr>
            <w:tcW w:type="pct" w:w="24.6031746031746%"/>
            <w:tcBorders>
              <w:top w:val="single" w:color="555555" w:sz="6"/>
              <w:left w:val="single" w:color="555555" w:sz="6"/>
              <w:bottom w:val="single" w:color="555555" w:sz="6"/>
              <w:right w:val="single" w:color="555555" w:sz="6"/>
            </w:tcBorders>
          </w:tcPr>
          <w:p/>
        </w:tc>
      </w:tr>
      <w:tr>
        <w:trPr>
          <w:cantSplit/>
          <w:trHeight w:val="480" w:hRule="atLeast"/>
        </w:trPr>
        <w:tc>
          <w:tcPr>
            <w:tcW w:type="pct" w:w="15.873015873015872%"/>
            <w:tcBorders>
              <w:top w:val="single" w:color="555555" w:sz="6"/>
              <w:left w:val="single" w:color="555555" w:sz="6"/>
              <w:bottom w:val="single" w:color="555555" w:sz="6"/>
              <w:right w:val="single" w:color="555555" w:sz="6"/>
            </w:tcBorders>
          </w:tcPr>
          <w:p/>
        </w:tc>
        <w:tc>
          <w:tcPr>
            <w:tcW w:type="pct" w:w="32.73809523809524%"/>
            <w:tcBorders>
              <w:top w:val="single" w:color="555555" w:sz="6"/>
              <w:left w:val="single" w:color="555555" w:sz="6"/>
              <w:bottom w:val="single" w:color="555555" w:sz="6"/>
              <w:right w:val="single" w:color="555555" w:sz="6"/>
            </w:tcBorders>
          </w:tcPr>
          <w:p/>
        </w:tc>
        <w:tc>
          <w:tcPr>
            <w:tcW w:type="pct" w:w="26.785714285714285%"/>
            <w:tcBorders>
              <w:top w:val="single" w:color="555555" w:sz="6"/>
              <w:left w:val="single" w:color="555555" w:sz="6"/>
              <w:bottom w:val="single" w:color="555555" w:sz="6"/>
              <w:right w:val="single" w:color="555555" w:sz="6"/>
            </w:tcBorders>
          </w:tcPr>
          <w:p/>
        </w:tc>
        <w:tc>
          <w:tcPr>
            <w:tcW w:type="pct" w:w="24.6031746031746%"/>
            <w:tcBorders>
              <w:top w:val="single" w:color="555555" w:sz="6"/>
              <w:left w:val="single" w:color="555555" w:sz="6"/>
              <w:bottom w:val="single" w:color="555555" w:sz="6"/>
              <w:right w:val="single" w:color="555555" w:sz="6"/>
            </w:tcBorders>
          </w:tcPr>
          <w:p/>
        </w:tc>
      </w:tr>
      <w:tr>
        <w:trPr>
          <w:cantSplit/>
          <w:trHeight w:val="480" w:hRule="atLeast"/>
        </w:trPr>
        <w:tc>
          <w:tcPr>
            <w:tcW w:type="pct" w:w="15.873015873015872%"/>
            <w:tcBorders>
              <w:top w:val="single" w:color="555555" w:sz="6"/>
              <w:left w:val="single" w:color="555555" w:sz="6"/>
              <w:bottom w:val="single" w:color="555555" w:sz="6"/>
              <w:right w:val="single" w:color="555555" w:sz="6"/>
            </w:tcBorders>
          </w:tcPr>
          <w:p/>
        </w:tc>
        <w:tc>
          <w:tcPr>
            <w:tcW w:type="pct" w:w="32.73809523809524%"/>
            <w:tcBorders>
              <w:top w:val="single" w:color="555555" w:sz="6"/>
              <w:left w:val="single" w:color="555555" w:sz="6"/>
              <w:bottom w:val="single" w:color="555555" w:sz="6"/>
              <w:right w:val="single" w:color="555555" w:sz="6"/>
            </w:tcBorders>
          </w:tcPr>
          <w:p/>
        </w:tc>
        <w:tc>
          <w:tcPr>
            <w:tcW w:type="pct" w:w="26.785714285714285%"/>
            <w:tcBorders>
              <w:top w:val="single" w:color="555555" w:sz="6"/>
              <w:left w:val="single" w:color="555555" w:sz="6"/>
              <w:bottom w:val="single" w:color="555555" w:sz="6"/>
              <w:right w:val="single" w:color="555555" w:sz="6"/>
            </w:tcBorders>
          </w:tcPr>
          <w:p/>
        </w:tc>
        <w:tc>
          <w:tcPr>
            <w:tcW w:type="pct" w:w="24.6031746031746%"/>
            <w:tcBorders>
              <w:top w:val="single" w:color="555555" w:sz="6"/>
              <w:left w:val="single" w:color="555555" w:sz="6"/>
              <w:bottom w:val="single" w:color="555555" w:sz="6"/>
              <w:right w:val="single" w:color="555555" w:sz="6"/>
            </w:tcBorders>
          </w:tcPr>
          <w:p/>
        </w:tc>
      </w:tr>
      <w:tr>
        <w:trPr>
          <w:cantSplit/>
          <w:trHeight w:val="480" w:hRule="atLeast"/>
        </w:trPr>
        <w:tc>
          <w:tcPr>
            <w:tcW w:type="pct" w:w="15.873015873015872%"/>
            <w:tcBorders>
              <w:top w:val="single" w:color="555555" w:sz="6"/>
              <w:left w:val="single" w:color="555555" w:sz="6"/>
              <w:bottom w:val="single" w:color="555555" w:sz="6"/>
              <w:right w:val="single" w:color="555555" w:sz="6"/>
            </w:tcBorders>
          </w:tcPr>
          <w:p/>
        </w:tc>
        <w:tc>
          <w:tcPr>
            <w:tcW w:type="pct" w:w="32.73809523809524%"/>
            <w:tcBorders>
              <w:top w:val="single" w:color="555555" w:sz="6"/>
              <w:left w:val="single" w:color="555555" w:sz="6"/>
              <w:bottom w:val="single" w:color="555555" w:sz="6"/>
              <w:right w:val="single" w:color="555555" w:sz="6"/>
            </w:tcBorders>
          </w:tcPr>
          <w:p/>
        </w:tc>
        <w:tc>
          <w:tcPr>
            <w:tcW w:type="pct" w:w="26.785714285714285%"/>
            <w:tcBorders>
              <w:top w:val="single" w:color="555555" w:sz="6"/>
              <w:left w:val="single" w:color="555555" w:sz="6"/>
              <w:bottom w:val="single" w:color="555555" w:sz="6"/>
              <w:right w:val="single" w:color="555555" w:sz="6"/>
            </w:tcBorders>
          </w:tcPr>
          <w:p/>
        </w:tc>
        <w:tc>
          <w:tcPr>
            <w:tcW w:type="pct" w:w="24.6031746031746%"/>
            <w:tcBorders>
              <w:top w:val="single" w:color="555555" w:sz="6"/>
              <w:left w:val="single" w:color="555555" w:sz="6"/>
              <w:bottom w:val="single" w:color="555555" w:sz="6"/>
              <w:right w:val="single" w:color="555555" w:sz="6"/>
            </w:tcBorders>
          </w:tcPr>
          <w:p/>
        </w:tc>
      </w:tr>
    </w:tbl>
    <w:p>
      <w:pPr>
        <w:spacing w:after="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Changed steps / new version reference</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Context or material changes / participation</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Clinician review decision / next review reference</w:t>
            </w:r>
          </w:p>
          <w:p>
            <w:pPr>
              <w:spacing w:line="432"/>
            </w:pPr>
          </w:p>
        </w:tc>
      </w:tr>
    </w:tbl>
    <w:p>
      <w:pPr>
        <w:spacing w:after="20" w:before="0"/>
      </w:pPr>
    </w:p>
    <w:sectPr>
      <w:headerReference w:type="default" r:id="rId7"/>
      <w:footerReference w:type="default" r:id="rId8"/>
      <w:pgSz w:w="12240" w:h="15840" w:orient="portrait"/>
      <w:pgMar w:top="1224" w:right="792" w:bottom="936" w:left="792"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55555"/>
        <w:sz w:val="14"/>
        <w:szCs w:val="14"/>
      </w:rPr>
      <w:t xml:space="preserve">Blank template from TherapyCRM. Adapt it to your clinic’s own policy and professional judgment. It is not clinical, legal or regulatory advice and does not claim to meet any payer, regulator or certification-body requirement. therapycrm.io/guides/aba-task-analysis-chaining-data-sheet</w:t>
    </w:r>
    <w:r>
      <w:rPr>
        <w:sz w:val="14"/>
        <w:szCs w:val="14"/>
      </w:rPr>
      <w:t xml:space="preserve">  Page </w:t>
    </w:r>
    <w:r>
      <w:rPr>
        <w:sz w:val="14"/>
        <w:szCs w:val="14"/>
      </w:rPr>
      <w:fldChar w:fldCharType="begin"/>
      <w:instrText xml:space="preserve">PAGE</w:instrText>
      <w:fldChar w:fldCharType="separate"/>
      <w:fldChar w:fldCharType="end"/>
    </w:r>
    <w:r>
      <w:rPr>
        <w:sz w:val="14"/>
        <w:szCs w:val="14"/>
      </w:rPr>
      <w:t xml:space="preserve"> of </w:t>
    </w:r>
    <w:r>
      <w:rPr>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color w:val="333333"/>
        <w:sz w:val="16"/>
        <w:szCs w:val="16"/>
      </w:rPr>
      <w:t xml:space="preserve">Task analysis and chaining record</w:t>
    </w:r>
  </w:p>
  <w:p>
    <w:r>
      <w:rPr>
        <w:color w:val="333333"/>
        <w:sz w:val="16"/>
        <w:szCs w:val="16"/>
      </w:rPr>
      <w:t xml:space="preserve">Client reference: __________________     Date / observation reference: __________________</w:t>
    </w:r>
  </w:p>
  <w:p>
    <w:r>
      <w:rPr>
        <w:color w:val="333333"/>
        <w:sz w:val="16"/>
        <w:szCs w:val="16"/>
      </w:rPr>
      <w:t xml:space="preserve">Recorder: __________________     Definition / plan version: 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 analysis and chaining record</dc:title>
  <dc:creator>TherapyCRM</dc:creator>
  <dc:description>Keep step order, definition version, genuine opportunities and actual support visible.</dc:description>
  <cp:lastModifiedBy>Un-named</cp:lastModifiedBy>
  <cp:revision>1</cp:revision>
  <dcterms:created xsi:type="dcterms:W3CDTF">2026-10-10T07:14:03.392Z</dcterms:created>
  <dcterms:modified xsi:type="dcterms:W3CDTF">2026-10-10T07:14:03.392Z</dcterms:modified>
</cp:coreProperties>
</file>

<file path=docProps/custom.xml><?xml version="1.0" encoding="utf-8"?>
<Properties xmlns="http://schemas.openxmlformats.org/officeDocument/2006/custom-properties" xmlns:vt="http://schemas.openxmlformats.org/officeDocument/2006/docPropsVTypes"/>
</file>