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left"/>
      </w:pPr>
      <w:r>
        <w:rPr>
          <w:b/>
          <w:bCs/>
          <w:color w:val="000000"/>
          <w:sz w:val="34"/>
          <w:szCs w:val="34"/>
        </w:rPr>
        <w:t xml:space="preserve">Preference and outcome record pack</w:t>
      </w:r>
    </w:p>
    <w:p>
      <w:pPr>
        <w:spacing w:after="160"/>
      </w:pPr>
      <w:r>
        <w:rPr>
          <w:color w:val="444444"/>
          <w:sz w:val="18"/>
          <w:szCs w:val="18"/>
        </w:rPr>
        <w:t xml:space="preserve">Document accessible offers and choices; preference alone does not establish reinforcement.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Question / routine / client-nominated candidate set</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Authorized format reference, if any / selection and stop signals</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Access, familiarity and relevant constraints</w:t>
            </w:r>
          </w:p>
          <w:p>
            <w:pPr>
              <w:spacing w:line="432"/>
            </w:pPr>
          </w:p>
        </w:tc>
      </w:tr>
    </w:tbl>
    <w:p>
      <w:pPr>
        <w:spacing w:after="20" w:before="0"/>
      </w:pPr>
    </w:p>
    <w:p>
      <w:pPr>
        <w:keepNext/>
        <w:spacing w:after="60" w:before="240"/>
      </w:pPr>
      <w:r>
        <w:rPr>
          <w:b/>
          <w:bCs/>
          <w:sz w:val="22"/>
          <w:szCs w:val="22"/>
        </w:rPr>
        <w:t xml:space="preserve">All offered opportunities, including declines and missing records</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63"/>
        <w:gridCol w:w="3277"/>
        <w:gridCol w:w="2326"/>
        <w:gridCol w:w="3890"/>
      </w:tblGrid>
      <w:tr>
        <w:trPr>
          <w:cantSplit/>
          <w:tblHeader/>
        </w:trPr>
        <w:tc>
          <w:tcPr>
            <w:tcW w:type="pct" w:w="10.912698412698413%"/>
            <w:tcBorders>
              <w:top w:val="single" w:color="555555" w:sz="6"/>
              <w:left w:val="single" w:color="555555" w:sz="6"/>
              <w:bottom w:val="single" w:color="555555" w:sz="6"/>
              <w:right w:val="single" w:color="555555" w:sz="6"/>
            </w:tcBorders>
            <w:shd w:fill="EEF0F2" w:color="auto" w:val="clear"/>
          </w:tcPr>
          <w:p>
            <w:r>
              <w:rPr>
                <w:b/>
                <w:bCs/>
                <w:sz w:val="16"/>
                <w:szCs w:val="16"/>
              </w:rPr>
              <w:t xml:space="preserve">Reference</w:t>
            </w:r>
          </w:p>
        </w:tc>
        <w:tc>
          <w:tcPr>
            <w:tcW w:type="pct" w:w="30.753968253968257%"/>
            <w:tcBorders>
              <w:top w:val="single" w:color="555555" w:sz="6"/>
              <w:left w:val="single" w:color="555555" w:sz="6"/>
              <w:bottom w:val="single" w:color="555555" w:sz="6"/>
              <w:right w:val="single" w:color="555555" w:sz="6"/>
            </w:tcBorders>
            <w:shd w:fill="EEF0F2" w:color="auto" w:val="clear"/>
          </w:tcPr>
          <w:p>
            <w:r>
              <w:rPr>
                <w:b/>
                <w:bCs/>
                <w:sz w:val="16"/>
                <w:szCs w:val="16"/>
              </w:rPr>
              <w:t xml:space="preserve">Options / access</w:t>
            </w:r>
          </w:p>
        </w:tc>
        <w:tc>
          <w:tcPr>
            <w:tcW w:type="pct" w:w="21.825396825396826%"/>
            <w:tcBorders>
              <w:top w:val="single" w:color="555555" w:sz="6"/>
              <w:left w:val="single" w:color="555555" w:sz="6"/>
              <w:bottom w:val="single" w:color="555555" w:sz="6"/>
              <w:right w:val="single" w:color="555555" w:sz="6"/>
            </w:tcBorders>
            <w:shd w:fill="EEF0F2" w:color="auto" w:val="clear"/>
          </w:tcPr>
          <w:p>
            <w:r>
              <w:rPr>
                <w:b/>
                <w:bCs/>
                <w:sz w:val="16"/>
                <w:szCs w:val="16"/>
              </w:rPr>
              <w:t xml:space="preserve">Observed choice</w:t>
            </w:r>
          </w:p>
        </w:tc>
        <w:tc>
          <w:tcPr>
            <w:tcW w:type="pct" w:w="36.507936507936506%"/>
            <w:tcBorders>
              <w:top w:val="single" w:color="555555" w:sz="6"/>
              <w:left w:val="single" w:color="555555" w:sz="6"/>
              <w:bottom w:val="single" w:color="555555" w:sz="6"/>
              <w:right w:val="single" w:color="555555" w:sz="6"/>
            </w:tcBorders>
            <w:shd w:fill="EEF0F2" w:color="auto" w:val="clear"/>
          </w:tcPr>
          <w:p>
            <w:r>
              <w:rPr>
                <w:b/>
                <w:bCs/>
                <w:sz w:val="16"/>
                <w:szCs w:val="16"/>
              </w:rPr>
              <w:t xml:space="preserve">Status / position / context</w:t>
            </w:r>
          </w:p>
        </w:tc>
      </w:tr>
      <w:tr>
        <w:trPr>
          <w:cantSplit/>
          <w:trHeight w:val="480" w:hRule="atLeast"/>
        </w:trPr>
        <w:tc>
          <w:tcPr>
            <w:tcW w:type="pct" w:w="10.912698412698413%"/>
            <w:tcBorders>
              <w:top w:val="single" w:color="555555" w:sz="6"/>
              <w:left w:val="single" w:color="555555" w:sz="6"/>
              <w:bottom w:val="single" w:color="555555" w:sz="6"/>
              <w:right w:val="single" w:color="555555" w:sz="6"/>
            </w:tcBorders>
          </w:tcPr>
          <w:p/>
        </w:tc>
        <w:tc>
          <w:tcPr>
            <w:tcW w:type="pct" w:w="30.753968253968257%"/>
            <w:tcBorders>
              <w:top w:val="single" w:color="555555" w:sz="6"/>
              <w:left w:val="single" w:color="555555" w:sz="6"/>
              <w:bottom w:val="single" w:color="555555" w:sz="6"/>
              <w:right w:val="single" w:color="555555" w:sz="6"/>
            </w:tcBorders>
          </w:tcPr>
          <w:p/>
        </w:tc>
        <w:tc>
          <w:tcPr>
            <w:tcW w:type="pct" w:w="21.825396825396826%"/>
            <w:tcBorders>
              <w:top w:val="single" w:color="555555" w:sz="6"/>
              <w:left w:val="single" w:color="555555" w:sz="6"/>
              <w:bottom w:val="single" w:color="555555" w:sz="6"/>
              <w:right w:val="single" w:color="555555" w:sz="6"/>
            </w:tcBorders>
          </w:tcPr>
          <w:p/>
        </w:tc>
        <w:tc>
          <w:tcPr>
            <w:tcW w:type="pct" w:w="36.507936507936506%"/>
            <w:tcBorders>
              <w:top w:val="single" w:color="555555" w:sz="6"/>
              <w:left w:val="single" w:color="555555" w:sz="6"/>
              <w:bottom w:val="single" w:color="555555" w:sz="6"/>
              <w:right w:val="single" w:color="555555" w:sz="6"/>
            </w:tcBorders>
          </w:tcPr>
          <w:p/>
        </w:tc>
      </w:tr>
      <w:tr>
        <w:trPr>
          <w:cantSplit/>
          <w:trHeight w:val="480" w:hRule="atLeast"/>
        </w:trPr>
        <w:tc>
          <w:tcPr>
            <w:tcW w:type="pct" w:w="10.912698412698413%"/>
            <w:tcBorders>
              <w:top w:val="single" w:color="555555" w:sz="6"/>
              <w:left w:val="single" w:color="555555" w:sz="6"/>
              <w:bottom w:val="single" w:color="555555" w:sz="6"/>
              <w:right w:val="single" w:color="555555" w:sz="6"/>
            </w:tcBorders>
          </w:tcPr>
          <w:p/>
        </w:tc>
        <w:tc>
          <w:tcPr>
            <w:tcW w:type="pct" w:w="30.753968253968257%"/>
            <w:tcBorders>
              <w:top w:val="single" w:color="555555" w:sz="6"/>
              <w:left w:val="single" w:color="555555" w:sz="6"/>
              <w:bottom w:val="single" w:color="555555" w:sz="6"/>
              <w:right w:val="single" w:color="555555" w:sz="6"/>
            </w:tcBorders>
          </w:tcPr>
          <w:p/>
        </w:tc>
        <w:tc>
          <w:tcPr>
            <w:tcW w:type="pct" w:w="21.825396825396826%"/>
            <w:tcBorders>
              <w:top w:val="single" w:color="555555" w:sz="6"/>
              <w:left w:val="single" w:color="555555" w:sz="6"/>
              <w:bottom w:val="single" w:color="555555" w:sz="6"/>
              <w:right w:val="single" w:color="555555" w:sz="6"/>
            </w:tcBorders>
          </w:tcPr>
          <w:p/>
        </w:tc>
        <w:tc>
          <w:tcPr>
            <w:tcW w:type="pct" w:w="36.507936507936506%"/>
            <w:tcBorders>
              <w:top w:val="single" w:color="555555" w:sz="6"/>
              <w:left w:val="single" w:color="555555" w:sz="6"/>
              <w:bottom w:val="single" w:color="555555" w:sz="6"/>
              <w:right w:val="single" w:color="555555" w:sz="6"/>
            </w:tcBorders>
          </w:tcPr>
          <w:p/>
        </w:tc>
      </w:tr>
      <w:tr>
        <w:trPr>
          <w:cantSplit/>
          <w:trHeight w:val="480" w:hRule="atLeast"/>
        </w:trPr>
        <w:tc>
          <w:tcPr>
            <w:tcW w:type="pct" w:w="10.912698412698413%"/>
            <w:tcBorders>
              <w:top w:val="single" w:color="555555" w:sz="6"/>
              <w:left w:val="single" w:color="555555" w:sz="6"/>
              <w:bottom w:val="single" w:color="555555" w:sz="6"/>
              <w:right w:val="single" w:color="555555" w:sz="6"/>
            </w:tcBorders>
          </w:tcPr>
          <w:p/>
        </w:tc>
        <w:tc>
          <w:tcPr>
            <w:tcW w:type="pct" w:w="30.753968253968257%"/>
            <w:tcBorders>
              <w:top w:val="single" w:color="555555" w:sz="6"/>
              <w:left w:val="single" w:color="555555" w:sz="6"/>
              <w:bottom w:val="single" w:color="555555" w:sz="6"/>
              <w:right w:val="single" w:color="555555" w:sz="6"/>
            </w:tcBorders>
          </w:tcPr>
          <w:p/>
        </w:tc>
        <w:tc>
          <w:tcPr>
            <w:tcW w:type="pct" w:w="21.825396825396826%"/>
            <w:tcBorders>
              <w:top w:val="single" w:color="555555" w:sz="6"/>
              <w:left w:val="single" w:color="555555" w:sz="6"/>
              <w:bottom w:val="single" w:color="555555" w:sz="6"/>
              <w:right w:val="single" w:color="555555" w:sz="6"/>
            </w:tcBorders>
          </w:tcPr>
          <w:p/>
        </w:tc>
        <w:tc>
          <w:tcPr>
            <w:tcW w:type="pct" w:w="36.507936507936506%"/>
            <w:tcBorders>
              <w:top w:val="single" w:color="555555" w:sz="6"/>
              <w:left w:val="single" w:color="555555" w:sz="6"/>
              <w:bottom w:val="single" w:color="555555" w:sz="6"/>
              <w:right w:val="single" w:color="555555" w:sz="6"/>
            </w:tcBorders>
          </w:tcPr>
          <w:p/>
        </w:tc>
      </w:tr>
      <w:tr>
        <w:trPr>
          <w:cantSplit/>
          <w:trHeight w:val="480" w:hRule="atLeast"/>
        </w:trPr>
        <w:tc>
          <w:tcPr>
            <w:tcW w:type="pct" w:w="10.912698412698413%"/>
            <w:tcBorders>
              <w:top w:val="single" w:color="555555" w:sz="6"/>
              <w:left w:val="single" w:color="555555" w:sz="6"/>
              <w:bottom w:val="single" w:color="555555" w:sz="6"/>
              <w:right w:val="single" w:color="555555" w:sz="6"/>
            </w:tcBorders>
          </w:tcPr>
          <w:p/>
        </w:tc>
        <w:tc>
          <w:tcPr>
            <w:tcW w:type="pct" w:w="30.753968253968257%"/>
            <w:tcBorders>
              <w:top w:val="single" w:color="555555" w:sz="6"/>
              <w:left w:val="single" w:color="555555" w:sz="6"/>
              <w:bottom w:val="single" w:color="555555" w:sz="6"/>
              <w:right w:val="single" w:color="555555" w:sz="6"/>
            </w:tcBorders>
          </w:tcPr>
          <w:p/>
        </w:tc>
        <w:tc>
          <w:tcPr>
            <w:tcW w:type="pct" w:w="21.825396825396826%"/>
            <w:tcBorders>
              <w:top w:val="single" w:color="555555" w:sz="6"/>
              <w:left w:val="single" w:color="555555" w:sz="6"/>
              <w:bottom w:val="single" w:color="555555" w:sz="6"/>
              <w:right w:val="single" w:color="555555" w:sz="6"/>
            </w:tcBorders>
          </w:tcPr>
          <w:p/>
        </w:tc>
        <w:tc>
          <w:tcPr>
            <w:tcW w:type="pct" w:w="36.507936507936506%"/>
            <w:tcBorders>
              <w:top w:val="single" w:color="555555" w:sz="6"/>
              <w:left w:val="single" w:color="555555" w:sz="6"/>
              <w:bottom w:val="single" w:color="555555" w:sz="6"/>
              <w:right w:val="single" w:color="555555" w:sz="6"/>
            </w:tcBorders>
          </w:tcPr>
          <w:p/>
        </w:tc>
      </w:tr>
      <w:tr>
        <w:trPr>
          <w:cantSplit/>
          <w:trHeight w:val="480" w:hRule="atLeast"/>
        </w:trPr>
        <w:tc>
          <w:tcPr>
            <w:tcW w:type="pct" w:w="10.912698412698413%"/>
            <w:tcBorders>
              <w:top w:val="single" w:color="555555" w:sz="6"/>
              <w:left w:val="single" w:color="555555" w:sz="6"/>
              <w:bottom w:val="single" w:color="555555" w:sz="6"/>
              <w:right w:val="single" w:color="555555" w:sz="6"/>
            </w:tcBorders>
          </w:tcPr>
          <w:p/>
        </w:tc>
        <w:tc>
          <w:tcPr>
            <w:tcW w:type="pct" w:w="30.753968253968257%"/>
            <w:tcBorders>
              <w:top w:val="single" w:color="555555" w:sz="6"/>
              <w:left w:val="single" w:color="555555" w:sz="6"/>
              <w:bottom w:val="single" w:color="555555" w:sz="6"/>
              <w:right w:val="single" w:color="555555" w:sz="6"/>
            </w:tcBorders>
          </w:tcPr>
          <w:p/>
        </w:tc>
        <w:tc>
          <w:tcPr>
            <w:tcW w:type="pct" w:w="21.825396825396826%"/>
            <w:tcBorders>
              <w:top w:val="single" w:color="555555" w:sz="6"/>
              <w:left w:val="single" w:color="555555" w:sz="6"/>
              <w:bottom w:val="single" w:color="555555" w:sz="6"/>
              <w:right w:val="single" w:color="555555" w:sz="6"/>
            </w:tcBorders>
          </w:tcPr>
          <w:p/>
        </w:tc>
        <w:tc>
          <w:tcPr>
            <w:tcW w:type="pct" w:w="36.507936507936506%"/>
            <w:tcBorders>
              <w:top w:val="single" w:color="555555" w:sz="6"/>
              <w:left w:val="single" w:color="555555" w:sz="6"/>
              <w:bottom w:val="single" w:color="555555" w:sz="6"/>
              <w:right w:val="single" w:color="555555" w:sz="6"/>
            </w:tcBorders>
          </w:tcPr>
          <w:p/>
        </w:tc>
      </w:tr>
      <w:tr>
        <w:trPr>
          <w:cantSplit/>
          <w:trHeight w:val="480" w:hRule="atLeast"/>
        </w:trPr>
        <w:tc>
          <w:tcPr>
            <w:tcW w:type="pct" w:w="10.912698412698413%"/>
            <w:tcBorders>
              <w:top w:val="single" w:color="555555" w:sz="6"/>
              <w:left w:val="single" w:color="555555" w:sz="6"/>
              <w:bottom w:val="single" w:color="555555" w:sz="6"/>
              <w:right w:val="single" w:color="555555" w:sz="6"/>
            </w:tcBorders>
          </w:tcPr>
          <w:p/>
        </w:tc>
        <w:tc>
          <w:tcPr>
            <w:tcW w:type="pct" w:w="30.753968253968257%"/>
            <w:tcBorders>
              <w:top w:val="single" w:color="555555" w:sz="6"/>
              <w:left w:val="single" w:color="555555" w:sz="6"/>
              <w:bottom w:val="single" w:color="555555" w:sz="6"/>
              <w:right w:val="single" w:color="555555" w:sz="6"/>
            </w:tcBorders>
          </w:tcPr>
          <w:p/>
        </w:tc>
        <w:tc>
          <w:tcPr>
            <w:tcW w:type="pct" w:w="21.825396825396826%"/>
            <w:tcBorders>
              <w:top w:val="single" w:color="555555" w:sz="6"/>
              <w:left w:val="single" w:color="555555" w:sz="6"/>
              <w:bottom w:val="single" w:color="555555" w:sz="6"/>
              <w:right w:val="single" w:color="555555" w:sz="6"/>
            </w:tcBorders>
          </w:tcPr>
          <w:p/>
        </w:tc>
        <w:tc>
          <w:tcPr>
            <w:tcW w:type="pct" w:w="36.507936507936506%"/>
            <w:tcBorders>
              <w:top w:val="single" w:color="555555" w:sz="6"/>
              <w:left w:val="single" w:color="555555" w:sz="6"/>
              <w:bottom w:val="single" w:color="555555" w:sz="6"/>
              <w:right w:val="single" w:color="555555" w:sz="6"/>
            </w:tcBorders>
          </w:tcPr>
          <w:p/>
        </w:tc>
      </w:tr>
    </w:tbl>
    <w:p>
      <w:pPr>
        <w:spacing w:after="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Selections / each option’s valid exposures / exclusions</w:t>
            </w:r>
          </w:p>
          <w:p>
            <w:pPr>
              <w:spacing w:line="432"/>
            </w:pPr>
          </w:p>
        </w:tc>
      </w:tr>
    </w:tbl>
    <w:p>
      <w:pPr>
        <w:spacing w:after="20" w:before="0"/>
      </w:pPr>
    </w:p>
    <w:p>
      <w:pPr>
        <w:keepNext/>
        <w:pageBreakBefore/>
        <w:spacing w:after="60" w:before="240"/>
      </w:pPr>
      <w:r>
        <w:rPr>
          <w:b/>
          <w:bCs/>
          <w:sz w:val="22"/>
          <w:szCs w:val="22"/>
        </w:rPr>
        <w:t xml:space="preserve">Separate responding and outcome record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Existing approved plan / outcome definition / unit</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Actual access and support arrangement / observation rule</w:t>
            </w:r>
          </w:p>
          <w:p>
            <w:pPr>
              <w:spacing w:line="432"/>
            </w:pPr>
          </w:p>
        </w:tc>
      </w:tr>
    </w:tbl>
    <w:p>
      <w:pPr>
        <w:spacing w:after="20" w:before="0"/>
      </w:pPr>
    </w:p>
    <w:p>
      <w:pPr>
        <w:keepNext/>
        <w:spacing w:after="60" w:before="240"/>
      </w:pPr>
      <w:r>
        <w:rPr>
          <w:b/>
          <w:bCs/>
          <w:sz w:val="22"/>
          <w:szCs w:val="22"/>
        </w:rPr>
        <w:t xml:space="preserve">Descriptive source observations</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74"/>
        <w:gridCol w:w="2749"/>
        <w:gridCol w:w="2537"/>
        <w:gridCol w:w="3996"/>
      </w:tblGrid>
      <w:tr>
        <w:trPr>
          <w:cantSplit/>
          <w:tblHeader/>
        </w:trPr>
        <w:tc>
          <w:tcPr>
            <w:tcW w:type="pct" w:w="12.896825396825399%"/>
            <w:tcBorders>
              <w:top w:val="single" w:color="555555" w:sz="6"/>
              <w:left w:val="single" w:color="555555" w:sz="6"/>
              <w:bottom w:val="single" w:color="555555" w:sz="6"/>
              <w:right w:val="single" w:color="555555" w:sz="6"/>
            </w:tcBorders>
            <w:shd w:fill="EEF0F2" w:color="auto" w:val="clear"/>
          </w:tcPr>
          <w:p>
            <w:r>
              <w:rPr>
                <w:b/>
                <w:bCs/>
                <w:sz w:val="16"/>
                <w:szCs w:val="16"/>
              </w:rPr>
              <w:t xml:space="preserve">Window</w:t>
            </w:r>
          </w:p>
        </w:tc>
        <w:tc>
          <w:tcPr>
            <w:tcW w:type="pct" w:w="25.793650793650798%"/>
            <w:tcBorders>
              <w:top w:val="single" w:color="555555" w:sz="6"/>
              <w:left w:val="single" w:color="555555" w:sz="6"/>
              <w:bottom w:val="single" w:color="555555" w:sz="6"/>
              <w:right w:val="single" w:color="555555" w:sz="6"/>
            </w:tcBorders>
            <w:shd w:fill="EEF0F2" w:color="auto" w:val="clear"/>
          </w:tcPr>
          <w:p>
            <w:r>
              <w:rPr>
                <w:b/>
                <w:bCs/>
                <w:sz w:val="16"/>
                <w:szCs w:val="16"/>
              </w:rPr>
              <w:t xml:space="preserve">Observed time / opportunities</w:t>
            </w:r>
          </w:p>
        </w:tc>
        <w:tc>
          <w:tcPr>
            <w:tcW w:type="pct" w:w="23.809523809523807%"/>
            <w:tcBorders>
              <w:top w:val="single" w:color="555555" w:sz="6"/>
              <w:left w:val="single" w:color="555555" w:sz="6"/>
              <w:bottom w:val="single" w:color="555555" w:sz="6"/>
              <w:right w:val="single" w:color="555555" w:sz="6"/>
            </w:tcBorders>
            <w:shd w:fill="EEF0F2" w:color="auto" w:val="clear"/>
          </w:tcPr>
          <w:p>
            <w:r>
              <w:rPr>
                <w:b/>
                <w:bCs/>
                <w:sz w:val="16"/>
                <w:szCs w:val="16"/>
              </w:rPr>
              <w:t xml:space="preserve">Response / support</w:t>
            </w:r>
          </w:p>
        </w:tc>
        <w:tc>
          <w:tcPr>
            <w:tcW w:type="pct" w:w="37.5%"/>
            <w:tcBorders>
              <w:top w:val="single" w:color="555555" w:sz="6"/>
              <w:left w:val="single" w:color="555555" w:sz="6"/>
              <w:bottom w:val="single" w:color="555555" w:sz="6"/>
              <w:right w:val="single" w:color="555555" w:sz="6"/>
            </w:tcBorders>
            <w:shd w:fill="EEF0F2" w:color="auto" w:val="clear"/>
          </w:tcPr>
          <w:p>
            <w:r>
              <w:rPr>
                <w:b/>
                <w:bCs/>
                <w:sz w:val="16"/>
                <w:szCs w:val="16"/>
              </w:rPr>
              <w:t xml:space="preserve">Context / source / outcome</w:t>
            </w:r>
          </w:p>
        </w:tc>
      </w:tr>
      <w:tr>
        <w:trPr>
          <w:cantSplit/>
          <w:trHeight w:val="480" w:hRule="atLeast"/>
        </w:trPr>
        <w:tc>
          <w:tcPr>
            <w:tcW w:type="pct" w:w="12.896825396825399%"/>
            <w:tcBorders>
              <w:top w:val="single" w:color="555555" w:sz="6"/>
              <w:left w:val="single" w:color="555555" w:sz="6"/>
              <w:bottom w:val="single" w:color="555555" w:sz="6"/>
              <w:right w:val="single" w:color="555555" w:sz="6"/>
            </w:tcBorders>
          </w:tcPr>
          <w:p/>
        </w:tc>
        <w:tc>
          <w:tcPr>
            <w:tcW w:type="pct" w:w="25.793650793650798%"/>
            <w:tcBorders>
              <w:top w:val="single" w:color="555555" w:sz="6"/>
              <w:left w:val="single" w:color="555555" w:sz="6"/>
              <w:bottom w:val="single" w:color="555555" w:sz="6"/>
              <w:right w:val="single" w:color="555555" w:sz="6"/>
            </w:tcBorders>
          </w:tcPr>
          <w:p/>
        </w:tc>
        <w:tc>
          <w:tcPr>
            <w:tcW w:type="pct" w:w="23.809523809523807%"/>
            <w:tcBorders>
              <w:top w:val="single" w:color="555555" w:sz="6"/>
              <w:left w:val="single" w:color="555555" w:sz="6"/>
              <w:bottom w:val="single" w:color="555555" w:sz="6"/>
              <w:right w:val="single" w:color="555555" w:sz="6"/>
            </w:tcBorders>
          </w:tcPr>
          <w:p/>
        </w:tc>
        <w:tc>
          <w:tcPr>
            <w:tcW w:type="pct" w:w="37.5%"/>
            <w:tcBorders>
              <w:top w:val="single" w:color="555555" w:sz="6"/>
              <w:left w:val="single" w:color="555555" w:sz="6"/>
              <w:bottom w:val="single" w:color="555555" w:sz="6"/>
              <w:right w:val="single" w:color="555555" w:sz="6"/>
            </w:tcBorders>
          </w:tcPr>
          <w:p/>
        </w:tc>
      </w:tr>
      <w:tr>
        <w:trPr>
          <w:cantSplit/>
          <w:trHeight w:val="480" w:hRule="atLeast"/>
        </w:trPr>
        <w:tc>
          <w:tcPr>
            <w:tcW w:type="pct" w:w="12.896825396825399%"/>
            <w:tcBorders>
              <w:top w:val="single" w:color="555555" w:sz="6"/>
              <w:left w:val="single" w:color="555555" w:sz="6"/>
              <w:bottom w:val="single" w:color="555555" w:sz="6"/>
              <w:right w:val="single" w:color="555555" w:sz="6"/>
            </w:tcBorders>
          </w:tcPr>
          <w:p/>
        </w:tc>
        <w:tc>
          <w:tcPr>
            <w:tcW w:type="pct" w:w="25.793650793650798%"/>
            <w:tcBorders>
              <w:top w:val="single" w:color="555555" w:sz="6"/>
              <w:left w:val="single" w:color="555555" w:sz="6"/>
              <w:bottom w:val="single" w:color="555555" w:sz="6"/>
              <w:right w:val="single" w:color="555555" w:sz="6"/>
            </w:tcBorders>
          </w:tcPr>
          <w:p/>
        </w:tc>
        <w:tc>
          <w:tcPr>
            <w:tcW w:type="pct" w:w="23.809523809523807%"/>
            <w:tcBorders>
              <w:top w:val="single" w:color="555555" w:sz="6"/>
              <w:left w:val="single" w:color="555555" w:sz="6"/>
              <w:bottom w:val="single" w:color="555555" w:sz="6"/>
              <w:right w:val="single" w:color="555555" w:sz="6"/>
            </w:tcBorders>
          </w:tcPr>
          <w:p/>
        </w:tc>
        <w:tc>
          <w:tcPr>
            <w:tcW w:type="pct" w:w="37.5%"/>
            <w:tcBorders>
              <w:top w:val="single" w:color="555555" w:sz="6"/>
              <w:left w:val="single" w:color="555555" w:sz="6"/>
              <w:bottom w:val="single" w:color="555555" w:sz="6"/>
              <w:right w:val="single" w:color="555555" w:sz="6"/>
            </w:tcBorders>
          </w:tcPr>
          <w:p/>
        </w:tc>
      </w:tr>
      <w:tr>
        <w:trPr>
          <w:cantSplit/>
          <w:trHeight w:val="480" w:hRule="atLeast"/>
        </w:trPr>
        <w:tc>
          <w:tcPr>
            <w:tcW w:type="pct" w:w="12.896825396825399%"/>
            <w:tcBorders>
              <w:top w:val="single" w:color="555555" w:sz="6"/>
              <w:left w:val="single" w:color="555555" w:sz="6"/>
              <w:bottom w:val="single" w:color="555555" w:sz="6"/>
              <w:right w:val="single" w:color="555555" w:sz="6"/>
            </w:tcBorders>
          </w:tcPr>
          <w:p/>
        </w:tc>
        <w:tc>
          <w:tcPr>
            <w:tcW w:type="pct" w:w="25.793650793650798%"/>
            <w:tcBorders>
              <w:top w:val="single" w:color="555555" w:sz="6"/>
              <w:left w:val="single" w:color="555555" w:sz="6"/>
              <w:bottom w:val="single" w:color="555555" w:sz="6"/>
              <w:right w:val="single" w:color="555555" w:sz="6"/>
            </w:tcBorders>
          </w:tcPr>
          <w:p/>
        </w:tc>
        <w:tc>
          <w:tcPr>
            <w:tcW w:type="pct" w:w="23.809523809523807%"/>
            <w:tcBorders>
              <w:top w:val="single" w:color="555555" w:sz="6"/>
              <w:left w:val="single" w:color="555555" w:sz="6"/>
              <w:bottom w:val="single" w:color="555555" w:sz="6"/>
              <w:right w:val="single" w:color="555555" w:sz="6"/>
            </w:tcBorders>
          </w:tcPr>
          <w:p/>
        </w:tc>
        <w:tc>
          <w:tcPr>
            <w:tcW w:type="pct" w:w="37.5%"/>
            <w:tcBorders>
              <w:top w:val="single" w:color="555555" w:sz="6"/>
              <w:left w:val="single" w:color="555555" w:sz="6"/>
              <w:bottom w:val="single" w:color="555555" w:sz="6"/>
              <w:right w:val="single" w:color="555555" w:sz="6"/>
            </w:tcBorders>
          </w:tcPr>
          <w:p/>
        </w:tc>
      </w:tr>
      <w:tr>
        <w:trPr>
          <w:cantSplit/>
          <w:trHeight w:val="480" w:hRule="atLeast"/>
        </w:trPr>
        <w:tc>
          <w:tcPr>
            <w:tcW w:type="pct" w:w="12.896825396825399%"/>
            <w:tcBorders>
              <w:top w:val="single" w:color="555555" w:sz="6"/>
              <w:left w:val="single" w:color="555555" w:sz="6"/>
              <w:bottom w:val="single" w:color="555555" w:sz="6"/>
              <w:right w:val="single" w:color="555555" w:sz="6"/>
            </w:tcBorders>
          </w:tcPr>
          <w:p/>
        </w:tc>
        <w:tc>
          <w:tcPr>
            <w:tcW w:type="pct" w:w="25.793650793650798%"/>
            <w:tcBorders>
              <w:top w:val="single" w:color="555555" w:sz="6"/>
              <w:left w:val="single" w:color="555555" w:sz="6"/>
              <w:bottom w:val="single" w:color="555555" w:sz="6"/>
              <w:right w:val="single" w:color="555555" w:sz="6"/>
            </w:tcBorders>
          </w:tcPr>
          <w:p/>
        </w:tc>
        <w:tc>
          <w:tcPr>
            <w:tcW w:type="pct" w:w="23.809523809523807%"/>
            <w:tcBorders>
              <w:top w:val="single" w:color="555555" w:sz="6"/>
              <w:left w:val="single" w:color="555555" w:sz="6"/>
              <w:bottom w:val="single" w:color="555555" w:sz="6"/>
              <w:right w:val="single" w:color="555555" w:sz="6"/>
            </w:tcBorders>
          </w:tcPr>
          <w:p/>
        </w:tc>
        <w:tc>
          <w:tcPr>
            <w:tcW w:type="pct" w:w="37.5%"/>
            <w:tcBorders>
              <w:top w:val="single" w:color="555555" w:sz="6"/>
              <w:left w:val="single" w:color="555555" w:sz="6"/>
              <w:bottom w:val="single" w:color="555555" w:sz="6"/>
              <w:right w:val="single" w:color="555555" w:sz="6"/>
            </w:tcBorders>
          </w:tcPr>
          <w:p/>
        </w:tc>
      </w:tr>
      <w:tr>
        <w:trPr>
          <w:cantSplit/>
          <w:trHeight w:val="480" w:hRule="atLeast"/>
        </w:trPr>
        <w:tc>
          <w:tcPr>
            <w:tcW w:type="pct" w:w="12.896825396825399%"/>
            <w:tcBorders>
              <w:top w:val="single" w:color="555555" w:sz="6"/>
              <w:left w:val="single" w:color="555555" w:sz="6"/>
              <w:bottom w:val="single" w:color="555555" w:sz="6"/>
              <w:right w:val="single" w:color="555555" w:sz="6"/>
            </w:tcBorders>
          </w:tcPr>
          <w:p/>
        </w:tc>
        <w:tc>
          <w:tcPr>
            <w:tcW w:type="pct" w:w="25.793650793650798%"/>
            <w:tcBorders>
              <w:top w:val="single" w:color="555555" w:sz="6"/>
              <w:left w:val="single" w:color="555555" w:sz="6"/>
              <w:bottom w:val="single" w:color="555555" w:sz="6"/>
              <w:right w:val="single" w:color="555555" w:sz="6"/>
            </w:tcBorders>
          </w:tcPr>
          <w:p/>
        </w:tc>
        <w:tc>
          <w:tcPr>
            <w:tcW w:type="pct" w:w="23.809523809523807%"/>
            <w:tcBorders>
              <w:top w:val="single" w:color="555555" w:sz="6"/>
              <w:left w:val="single" w:color="555555" w:sz="6"/>
              <w:bottom w:val="single" w:color="555555" w:sz="6"/>
              <w:right w:val="single" w:color="555555" w:sz="6"/>
            </w:tcBorders>
          </w:tcPr>
          <w:p/>
        </w:tc>
        <w:tc>
          <w:tcPr>
            <w:tcW w:type="pct" w:w="37.5%"/>
            <w:tcBorders>
              <w:top w:val="single" w:color="555555" w:sz="6"/>
              <w:left w:val="single" w:color="555555" w:sz="6"/>
              <w:bottom w:val="single" w:color="555555" w:sz="6"/>
              <w:right w:val="single" w:color="555555" w:sz="6"/>
            </w:tcBorders>
          </w:tcPr>
          <w:p/>
        </w:tc>
      </w:tr>
      <w:tr>
        <w:trPr>
          <w:cantSplit/>
          <w:trHeight w:val="480" w:hRule="atLeast"/>
        </w:trPr>
        <w:tc>
          <w:tcPr>
            <w:tcW w:type="pct" w:w="12.896825396825399%"/>
            <w:tcBorders>
              <w:top w:val="single" w:color="555555" w:sz="6"/>
              <w:left w:val="single" w:color="555555" w:sz="6"/>
              <w:bottom w:val="single" w:color="555555" w:sz="6"/>
              <w:right w:val="single" w:color="555555" w:sz="6"/>
            </w:tcBorders>
          </w:tcPr>
          <w:p/>
        </w:tc>
        <w:tc>
          <w:tcPr>
            <w:tcW w:type="pct" w:w="25.793650793650798%"/>
            <w:tcBorders>
              <w:top w:val="single" w:color="555555" w:sz="6"/>
              <w:left w:val="single" w:color="555555" w:sz="6"/>
              <w:bottom w:val="single" w:color="555555" w:sz="6"/>
              <w:right w:val="single" w:color="555555" w:sz="6"/>
            </w:tcBorders>
          </w:tcPr>
          <w:p/>
        </w:tc>
        <w:tc>
          <w:tcPr>
            <w:tcW w:type="pct" w:w="23.809523809523807%"/>
            <w:tcBorders>
              <w:top w:val="single" w:color="555555" w:sz="6"/>
              <w:left w:val="single" w:color="555555" w:sz="6"/>
              <w:bottom w:val="single" w:color="555555" w:sz="6"/>
              <w:right w:val="single" w:color="555555" w:sz="6"/>
            </w:tcBorders>
          </w:tcPr>
          <w:p/>
        </w:tc>
        <w:tc>
          <w:tcPr>
            <w:tcW w:type="pct" w:w="37.5%"/>
            <w:tcBorders>
              <w:top w:val="single" w:color="555555" w:sz="6"/>
              <w:left w:val="single" w:color="555555" w:sz="6"/>
              <w:bottom w:val="single" w:color="555555" w:sz="6"/>
              <w:right w:val="single" w:color="555555" w:sz="6"/>
            </w:tcBorders>
          </w:tcPr>
          <w:p/>
        </w:tc>
      </w:tr>
    </w:tbl>
    <w:p>
      <w:pPr>
        <w:spacing w:after="60"/>
      </w:pPr>
    </w:p>
    <w:p>
      <w:pPr>
        <w:spacing w:after="100" w:before="100"/>
      </w:pPr>
      <w:r>
        <w:rPr>
          <w:color w:val="333333"/>
          <w:sz w:val="17"/>
          <w:szCs w:val="17"/>
        </w:rPr>
        <w:t xml:space="preserve">No assessment protocol, deprivation arrangement or reinforcement schedule is supplied. Preserve access to basic needs and communication. Descriptive counts alone do not establish causality.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Comparability / missing coverage / interpretation limits</w:t>
            </w:r>
          </w:p>
          <w:p>
            <w:pPr>
              <w:spacing w:line="432"/>
            </w:pPr>
          </w:p>
        </w:tc>
      </w:tr>
    </w:tbl>
    <w:p>
      <w:pPr>
        <w:spacing w:after="20" w:before="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none" w:color="FFFFFF" w:sz="0"/>
              <w:left w:val="none" w:color="FFFFFF" w:sz="0"/>
              <w:bottom w:val="single" w:color="555555" w:sz="6"/>
              <w:right w:val="none" w:color="FFFFFF" w:sz="0"/>
            </w:tcBorders>
          </w:tcPr>
          <w:p>
            <w:pPr>
              <w:spacing w:after="20" w:before="80"/>
            </w:pPr>
            <w:r>
              <w:rPr>
                <w:color w:val="333333"/>
                <w:sz w:val="16"/>
                <w:szCs w:val="16"/>
              </w:rPr>
              <w:t xml:space="preserve">Clinician review question / decision</w:t>
            </w:r>
          </w:p>
          <w:p>
            <w:pPr>
              <w:spacing w:line="432"/>
            </w:pPr>
          </w:p>
        </w:tc>
      </w:tr>
    </w:tbl>
    <w:p>
      <w:pPr>
        <w:spacing w:after="20" w:before="0"/>
      </w:pPr>
    </w:p>
    <w:sectPr>
      <w:headerReference w:type="default" r:id="rId7"/>
      <w:footerReference w:type="default" r:id="rId8"/>
      <w:pgSz w:w="12240" w:h="15840" w:orient="portrait"/>
      <w:pgMar w:top="1224" w:right="792" w:bottom="936" w:left="792" w:header="360"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55555"/>
        <w:sz w:val="14"/>
        <w:szCs w:val="14"/>
      </w:rPr>
      <w:t xml:space="preserve">Blank template from TherapyCRM. Adapt it to your clinic’s own policy and professional judgment. It is not clinical, legal or regulatory advice and does not claim to meet any payer, regulator or certification-body requirement. therapycrm.io/guides/aba-preference-reinforcement-records</w:t>
    </w:r>
    <w:r>
      <w:rPr>
        <w:sz w:val="14"/>
        <w:szCs w:val="14"/>
      </w:rPr>
      <w:t xml:space="preserve">  Page </w:t>
    </w:r>
    <w:r>
      <w:rPr>
        <w:sz w:val="14"/>
        <w:szCs w:val="14"/>
      </w:rPr>
      <w:fldChar w:fldCharType="begin"/>
      <w:instrText xml:space="preserve">PAGE</w:instrText>
      <w:fldChar w:fldCharType="separate"/>
      <w:fldChar w:fldCharType="end"/>
    </w:r>
    <w:r>
      <w:rPr>
        <w:sz w:val="14"/>
        <w:szCs w:val="14"/>
      </w:rPr>
      <w:t xml:space="preserve"> of </w:t>
    </w:r>
    <w:r>
      <w:rPr>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color w:val="333333"/>
        <w:sz w:val="16"/>
        <w:szCs w:val="16"/>
      </w:rPr>
      <w:t xml:space="preserve">Preference and outcome record pack</w:t>
    </w:r>
  </w:p>
  <w:p>
    <w:r>
      <w:rPr>
        <w:color w:val="333333"/>
        <w:sz w:val="16"/>
        <w:szCs w:val="16"/>
      </w:rPr>
      <w:t xml:space="preserve">Client reference: __________________     Date / observation reference: __________________</w:t>
    </w:r>
  </w:p>
  <w:p>
    <w:r>
      <w:rPr>
        <w:color w:val="333333"/>
        <w:sz w:val="16"/>
        <w:szCs w:val="16"/>
      </w:rPr>
      <w:t xml:space="preserve">Recorder: __________________     Definition / plan version: 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Preference and outcome record pack</dc:title>
  <dc:creator>TherapyCRM</dc:creator>
  <dc:description>Document accessible offers and choices; preference alone does not establish reinforcement.</dc:description>
  <cp:lastModifiedBy>Un-named</cp:lastModifiedBy>
  <cp:revision>1</cp:revision>
  <dcterms:created xsi:type="dcterms:W3CDTF">2026-10-10T07:14:09.423Z</dcterms:created>
  <dcterms:modified xsi:type="dcterms:W3CDTF">2026-10-10T07:14:09.428Z</dcterms:modified>
</cp:coreProperties>
</file>

<file path=docProps/custom.xml><?xml version="1.0" encoding="utf-8"?>
<Properties xmlns="http://schemas.openxmlformats.org/officeDocument/2006/custom-properties" xmlns:vt="http://schemas.openxmlformats.org/officeDocument/2006/docPropsVTypes"/>
</file>