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Observer agreement and fidelity records</w:t>
      </w:r>
    </w:p>
    <w:p>
      <w:pPr>
        <w:spacing w:after="160"/>
      </w:pPr>
      <w:r>
        <w:rPr>
          <w:color w:val="444444"/>
          <w:sz w:val="18"/>
          <w:szCs w:val="18"/>
        </w:rPr>
        <w:t xml:space="preserve">Independent paired observations and approved-procedure implementation are separate questions.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IOA method / unit / definition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Observer references / synchronized window / pairing rule</w:t>
            </w:r>
          </w:p>
          <w:p>
            <w:pPr>
              <w:spacing w:line="432"/>
            </w:pPr>
          </w:p>
        </w:tc>
      </w:tr>
    </w:tbl>
    <w:p>
      <w:pPr>
        <w:spacing w:after="20" w:before="0"/>
      </w:pPr>
    </w:p>
    <w:p>
      <w:pPr>
        <w:keepNext/>
        <w:spacing w:after="60" w:before="240"/>
      </w:pPr>
      <w:r>
        <w:rPr>
          <w:b/>
          <w:bCs/>
          <w:sz w:val="22"/>
          <w:szCs w:val="22"/>
        </w:rPr>
        <w:t xml:space="preserve">Preserve both independent source records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1"/>
        <w:gridCol w:w="2749"/>
        <w:gridCol w:w="1374"/>
        <w:gridCol w:w="1374"/>
        <w:gridCol w:w="4207"/>
      </w:tblGrid>
      <w:tr>
        <w:trPr>
          <w:cantSplit/>
          <w:tblHeader/>
        </w:trPr>
        <w:tc>
          <w:tcPr>
            <w:tcW w:type="pct" w:w="8.928571428571429%"/>
            <w:tcBorders>
              <w:top w:val="single" w:color="555555" w:sz="6"/>
              <w:left w:val="single" w:color="555555" w:sz="6"/>
              <w:bottom w:val="single" w:color="555555" w:sz="6"/>
              <w:right w:val="single" w:color="555555" w:sz="6"/>
            </w:tcBorders>
            <w:shd w:fill="EEF0F2" w:color="auto" w:val="clear"/>
          </w:tcPr>
          <w:p>
            <w:r>
              <w:rPr>
                <w:b/>
                <w:bCs/>
                <w:sz w:val="16"/>
                <w:szCs w:val="16"/>
              </w:rPr>
              <w:t xml:space="preserve">Pair</w:t>
            </w:r>
          </w:p>
        </w:tc>
        <w:tc>
          <w:tcPr>
            <w:tcW w:type="pct" w:w="25.793650793650798%"/>
            <w:tcBorders>
              <w:top w:val="single" w:color="555555" w:sz="6"/>
              <w:left w:val="single" w:color="555555" w:sz="6"/>
              <w:bottom w:val="single" w:color="555555" w:sz="6"/>
              <w:right w:val="single" w:color="555555" w:sz="6"/>
            </w:tcBorders>
            <w:shd w:fill="EEF0F2" w:color="auto" w:val="clear"/>
          </w:tcPr>
          <w:p>
            <w:r>
              <w:rPr>
                <w:b/>
                <w:bCs/>
                <w:sz w:val="16"/>
                <w:szCs w:val="16"/>
              </w:rPr>
              <w:t xml:space="preserve">Window / unit</w:t>
            </w:r>
          </w:p>
        </w:tc>
        <w:tc>
          <w:tcPr>
            <w:tcW w:type="pct" w:w="12.896825396825399%"/>
            <w:tcBorders>
              <w:top w:val="single" w:color="555555" w:sz="6"/>
              <w:left w:val="single" w:color="555555" w:sz="6"/>
              <w:bottom w:val="single" w:color="555555" w:sz="6"/>
              <w:right w:val="single" w:color="555555" w:sz="6"/>
            </w:tcBorders>
            <w:shd w:fill="EEF0F2" w:color="auto" w:val="clear"/>
          </w:tcPr>
          <w:p>
            <w:r>
              <w:rPr>
                <w:b/>
                <w:bCs/>
                <w:sz w:val="16"/>
                <w:szCs w:val="16"/>
              </w:rPr>
              <w:t xml:space="preserve">A value</w:t>
            </w:r>
          </w:p>
        </w:tc>
        <w:tc>
          <w:tcPr>
            <w:tcW w:type="pct" w:w="12.896825396825399%"/>
            <w:tcBorders>
              <w:top w:val="single" w:color="555555" w:sz="6"/>
              <w:left w:val="single" w:color="555555" w:sz="6"/>
              <w:bottom w:val="single" w:color="555555" w:sz="6"/>
              <w:right w:val="single" w:color="555555" w:sz="6"/>
            </w:tcBorders>
            <w:shd w:fill="EEF0F2" w:color="auto" w:val="clear"/>
          </w:tcPr>
          <w:p>
            <w:r>
              <w:rPr>
                <w:b/>
                <w:bCs/>
                <w:sz w:val="16"/>
                <w:szCs w:val="16"/>
              </w:rPr>
              <w:t xml:space="preserve">B value</w:t>
            </w:r>
          </w:p>
        </w:tc>
        <w:tc>
          <w:tcPr>
            <w:tcW w:type="pct" w:w="39.48412698412698%"/>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 / excluded-pair reason</w:t>
            </w: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12.896825396825399%"/>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Valid pairs / planned pairs / eligible denominator</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Formula / result / zero-denominator handling</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Disagreement patterns / reviewer decision</w:t>
            </w:r>
          </w:p>
          <w:p>
            <w:pPr>
              <w:spacing w:line="432"/>
            </w:pPr>
          </w:p>
        </w:tc>
      </w:tr>
    </w:tbl>
    <w:p>
      <w:pPr>
        <w:spacing w:after="20" w:before="0"/>
      </w:pPr>
    </w:p>
    <w:p>
      <w:pPr>
        <w:keepNext/>
        <w:pageBreakBefore/>
        <w:spacing w:after="60" w:before="240"/>
      </w:pPr>
      <w:r>
        <w:rPr>
          <w:b/>
          <w:bCs/>
          <w:sz w:val="22"/>
          <w:szCs w:val="22"/>
        </w:rPr>
        <w:t xml:space="preserve">Fidelity: use the approved procedure’s observable items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Approved procedure reference / version / observer</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Applicable opportunity and scoring rules</w:t>
            </w:r>
          </w:p>
          <w:p>
            <w:pPr>
              <w:spacing w:line="432"/>
            </w:pPr>
          </w:p>
        </w:tc>
      </w:tr>
    </w:tbl>
    <w:p>
      <w:pPr>
        <w:spacing w:after="20" w:before="0"/>
      </w:pPr>
    </w:p>
    <w:p>
      <w:pPr>
        <w:keepNext/>
        <w:spacing w:after="60" w:before="240"/>
      </w:pPr>
      <w:r>
        <w:rPr>
          <w:b/>
          <w:bCs/>
          <w:sz w:val="22"/>
          <w:szCs w:val="22"/>
        </w:rPr>
        <w:t xml:space="preserve">Original blank implementation record</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89"/>
        <w:gridCol w:w="1691"/>
        <w:gridCol w:w="2114"/>
        <w:gridCol w:w="3362"/>
      </w:tblGrid>
      <w:tr>
        <w:trPr>
          <w:cantSplit/>
          <w:tblHeader/>
        </w:trPr>
        <w:tc>
          <w:tcPr>
            <w:tcW w:type="pct" w:w="32.73809523809524%"/>
            <w:tcBorders>
              <w:top w:val="single" w:color="555555" w:sz="6"/>
              <w:left w:val="single" w:color="555555" w:sz="6"/>
              <w:bottom w:val="single" w:color="555555" w:sz="6"/>
              <w:right w:val="single" w:color="555555" w:sz="6"/>
            </w:tcBorders>
            <w:shd w:fill="EEF0F2" w:color="auto" w:val="clear"/>
          </w:tcPr>
          <w:p>
            <w:r>
              <w:rPr>
                <w:b/>
                <w:bCs/>
                <w:sz w:val="16"/>
                <w:szCs w:val="16"/>
              </w:rPr>
              <w:t xml:space="preserve">Expected action</w:t>
            </w:r>
          </w:p>
        </w:tc>
        <w:tc>
          <w:tcPr>
            <w:tcW w:type="pct" w:w="15.873015873015872%"/>
            <w:tcBorders>
              <w:top w:val="single" w:color="555555" w:sz="6"/>
              <w:left w:val="single" w:color="555555" w:sz="6"/>
              <w:bottom w:val="single" w:color="555555" w:sz="6"/>
              <w:right w:val="single" w:color="555555" w:sz="6"/>
            </w:tcBorders>
            <w:shd w:fill="EEF0F2" w:color="auto" w:val="clear"/>
          </w:tcPr>
          <w:p>
            <w:r>
              <w:rPr>
                <w:b/>
                <w:bCs/>
                <w:sz w:val="16"/>
                <w:szCs w:val="16"/>
              </w:rPr>
              <w:t xml:space="preserve">Opportunity</w:t>
            </w:r>
          </w:p>
        </w:tc>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Result</w:t>
            </w:r>
          </w:p>
        </w:tc>
        <w:tc>
          <w:tcPr>
            <w:tcW w:type="pct" w:w="31.547619047619047%"/>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Observed context / support</w:t>
            </w:r>
          </w:p>
        </w:tc>
      </w:tr>
      <w:tr>
        <w:trPr>
          <w:cantSplit/>
          <w:trHeight w:val="480" w:hRule="atLeast"/>
        </w:trPr>
        <w:tc>
          <w:tcPr>
            <w:tcW w:type="pct" w:w="32.73809523809524%"/>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1.547619047619047%"/>
            <w:tcBorders>
              <w:top w:val="single" w:color="555555" w:sz="6"/>
              <w:left w:val="single" w:color="555555" w:sz="6"/>
              <w:bottom w:val="single" w:color="555555" w:sz="6"/>
              <w:right w:val="single" w:color="555555" w:sz="6"/>
            </w:tcBorders>
          </w:tcPr>
          <w:p/>
        </w:tc>
      </w:tr>
      <w:tr>
        <w:trPr>
          <w:cantSplit/>
          <w:trHeight w:val="480" w:hRule="atLeast"/>
        </w:trPr>
        <w:tc>
          <w:tcPr>
            <w:tcW w:type="pct" w:w="32.73809523809524%"/>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1.547619047619047%"/>
            <w:tcBorders>
              <w:top w:val="single" w:color="555555" w:sz="6"/>
              <w:left w:val="single" w:color="555555" w:sz="6"/>
              <w:bottom w:val="single" w:color="555555" w:sz="6"/>
              <w:right w:val="single" w:color="555555" w:sz="6"/>
            </w:tcBorders>
          </w:tcPr>
          <w:p/>
        </w:tc>
      </w:tr>
      <w:tr>
        <w:trPr>
          <w:cantSplit/>
          <w:trHeight w:val="480" w:hRule="atLeast"/>
        </w:trPr>
        <w:tc>
          <w:tcPr>
            <w:tcW w:type="pct" w:w="32.73809523809524%"/>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1.547619047619047%"/>
            <w:tcBorders>
              <w:top w:val="single" w:color="555555" w:sz="6"/>
              <w:left w:val="single" w:color="555555" w:sz="6"/>
              <w:bottom w:val="single" w:color="555555" w:sz="6"/>
              <w:right w:val="single" w:color="555555" w:sz="6"/>
            </w:tcBorders>
          </w:tcPr>
          <w:p/>
        </w:tc>
      </w:tr>
      <w:tr>
        <w:trPr>
          <w:cantSplit/>
          <w:trHeight w:val="480" w:hRule="atLeast"/>
        </w:trPr>
        <w:tc>
          <w:tcPr>
            <w:tcW w:type="pct" w:w="32.73809523809524%"/>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1.547619047619047%"/>
            <w:tcBorders>
              <w:top w:val="single" w:color="555555" w:sz="6"/>
              <w:left w:val="single" w:color="555555" w:sz="6"/>
              <w:bottom w:val="single" w:color="555555" w:sz="6"/>
              <w:right w:val="single" w:color="555555" w:sz="6"/>
            </w:tcBorders>
          </w:tcPr>
          <w:p/>
        </w:tc>
      </w:tr>
      <w:tr>
        <w:trPr>
          <w:cantSplit/>
          <w:trHeight w:val="480" w:hRule="atLeast"/>
        </w:trPr>
        <w:tc>
          <w:tcPr>
            <w:tcW w:type="pct" w:w="32.73809523809524%"/>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1.547619047619047%"/>
            <w:tcBorders>
              <w:top w:val="single" w:color="555555" w:sz="6"/>
              <w:left w:val="single" w:color="555555" w:sz="6"/>
              <w:bottom w:val="single" w:color="555555" w:sz="6"/>
              <w:right w:val="single" w:color="555555" w:sz="6"/>
            </w:tcBorders>
          </w:tcPr>
          <w:p/>
        </w:tc>
      </w:tr>
      <w:tr>
        <w:trPr>
          <w:cantSplit/>
          <w:trHeight w:val="480" w:hRule="atLeast"/>
        </w:trPr>
        <w:tc>
          <w:tcPr>
            <w:tcW w:type="pct" w:w="32.73809523809524%"/>
            <w:tcBorders>
              <w:top w:val="single" w:color="555555" w:sz="6"/>
              <w:left w:val="single" w:color="555555" w:sz="6"/>
              <w:bottom w:val="single" w:color="555555" w:sz="6"/>
              <w:right w:val="single" w:color="555555" w:sz="6"/>
            </w:tcBorders>
          </w:tcPr>
          <w:p/>
        </w:tc>
        <w:tc>
          <w:tcPr>
            <w:tcW w:type="pct" w:w="15.87301587301587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1.547619047619047%"/>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Keep completed, not completed, not applicable and not observed distinct. A percentage does not validate the procedure or replace review of safety-critical items.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Completed items / valid applicable observed items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Not applicable / not observed / review and follow-up</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therapycrm.io/guides/aba-ioa-treatment-fidelity-data-sheets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Observer agreement and fidelity records</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Observer agreement and fidelity records</dc:title>
  <dc:creator>TherapyCRM</dc:creator>
  <dc:description>Independent paired observations and approved-procedure implementation are separate questions.</dc:description>
  <cp:lastModifiedBy>Un-named</cp:lastModifiedBy>
  <cp:revision>1</cp:revision>
  <dcterms:created xsi:type="dcterms:W3CDTF">2026-10-10T07:14:05.817Z</dcterms:created>
  <dcterms:modified xsi:type="dcterms:W3CDTF">2026-10-10T07:14:05.817Z</dcterms:modified>
</cp:coreProperties>
</file>

<file path=docProps/custom.xml><?xml version="1.0" encoding="utf-8"?>
<Properties xmlns="http://schemas.openxmlformats.org/officeDocument/2006/custom-properties" xmlns:vt="http://schemas.openxmlformats.org/officeDocument/2006/docPropsVTypes"/>
</file>