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Generalization and maintenance record</w:t>
      </w:r>
    </w:p>
    <w:p>
      <w:pPr>
        <w:spacing w:after="160"/>
      </w:pPr>
      <w:r>
        <w:rPr>
          <w:color w:val="444444"/>
          <w:sz w:val="18"/>
          <w:szCs w:val="18"/>
        </w:rPr>
        <w:t xml:space="preserve">Keep changed contexts, time intervals, teaching conditions, support and source coverage visible.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Meaningful skill / definition / reference conditions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Approved probe question / accommodation / denominator rule</w:t>
            </w:r>
          </w:p>
          <w:p>
            <w:pPr>
              <w:spacing w:line="432"/>
            </w:pPr>
          </w:p>
        </w:tc>
      </w:tr>
    </w:tbl>
    <w:p>
      <w:pPr>
        <w:spacing w:after="20" w:before="0"/>
      </w:pPr>
    </w:p>
    <w:p>
      <w:pPr>
        <w:keepNext/>
        <w:spacing w:after="60" w:before="240"/>
      </w:pPr>
      <w:r>
        <w:rPr>
          <w:b/>
          <w:bCs/>
          <w:sz w:val="22"/>
          <w:szCs w:val="22"/>
        </w:rPr>
        <w:t xml:space="preserve">Transfer across contexts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3"/>
        <w:gridCol w:w="3066"/>
        <w:gridCol w:w="2537"/>
        <w:gridCol w:w="3150"/>
      </w:tblGrid>
      <w:tr>
        <w:trPr>
          <w:cantSplit/>
          <w:tblHeader/>
        </w:trPr>
        <w:tc>
          <w:tcPr>
            <w:tcW w:type="pct" w:w="17.857142857142858%"/>
            <w:tcBorders>
              <w:top w:val="single" w:color="555555" w:sz="6"/>
              <w:left w:val="single" w:color="555555" w:sz="6"/>
              <w:bottom w:val="single" w:color="555555" w:sz="6"/>
              <w:right w:val="single" w:color="555555" w:sz="6"/>
            </w:tcBorders>
            <w:shd w:fill="EEF0F2" w:color="auto" w:val="clear"/>
          </w:tcPr>
          <w:p>
            <w:r>
              <w:rPr>
                <w:b/>
                <w:bCs/>
                <w:sz w:val="16"/>
                <w:szCs w:val="16"/>
              </w:rPr>
              <w:t xml:space="preserve">Date / source</w:t>
            </w:r>
          </w:p>
        </w:tc>
        <w:tc>
          <w:tcPr>
            <w:tcW w:type="pct" w:w="28.76984126984127%"/>
            <w:tcBorders>
              <w:top w:val="single" w:color="555555" w:sz="6"/>
              <w:left w:val="single" w:color="555555" w:sz="6"/>
              <w:bottom w:val="single" w:color="555555" w:sz="6"/>
              <w:right w:val="single" w:color="555555" w:sz="6"/>
            </w:tcBorders>
            <w:shd w:fill="EEF0F2" w:color="auto" w:val="clear"/>
          </w:tcPr>
          <w:p>
            <w:r>
              <w:rPr>
                <w:b/>
                <w:bCs/>
                <w:sz w:val="16"/>
                <w:szCs w:val="16"/>
              </w:rPr>
              <w:t xml:space="preserve">Person / place / materials</w:t>
            </w:r>
          </w:p>
        </w:tc>
        <w:tc>
          <w:tcPr>
            <w:tcW w:type="pct" w:w="23.809523809523807%"/>
            <w:tcBorders>
              <w:top w:val="single" w:color="555555" w:sz="6"/>
              <w:left w:val="single" w:color="555555" w:sz="6"/>
              <w:bottom w:val="single" w:color="555555" w:sz="6"/>
              <w:right w:val="single" w:color="555555" w:sz="6"/>
            </w:tcBorders>
            <w:shd w:fill="EEF0F2" w:color="auto" w:val="clear"/>
          </w:tcPr>
          <w:p>
            <w:r>
              <w:rPr>
                <w:b/>
                <w:bCs/>
                <w:sz w:val="16"/>
                <w:szCs w:val="16"/>
              </w:rPr>
              <w:t xml:space="preserve">Response / support</w:t>
            </w:r>
          </w:p>
        </w:tc>
        <w:tc>
          <w:tcPr>
            <w:tcW w:type="pct" w:w="29.563492063492063%"/>
            <w:tcBorders>
              <w:top w:val="single" w:color="555555" w:sz="6"/>
              <w:left w:val="single" w:color="555555" w:sz="6"/>
              <w:bottom w:val="single" w:color="555555" w:sz="6"/>
              <w:right w:val="single" w:color="555555" w:sz="6"/>
            </w:tcBorders>
            <w:shd w:fill="EEF0F2" w:color="auto" w:val="clear"/>
          </w:tcPr>
          <w:p>
            <w:r>
              <w:rPr>
                <w:b/>
                <w:bCs/>
                <w:sz w:val="16"/>
                <w:szCs w:val="16"/>
              </w:rPr>
              <w:t xml:space="preserve">Valid opportunities / coverage</w:t>
            </w: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28.76984126984127%"/>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29.56349206349206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28.76984126984127%"/>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29.56349206349206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28.76984126984127%"/>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29.56349206349206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28.76984126984127%"/>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29.56349206349206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28.76984126984127%"/>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29.56349206349206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28.76984126984127%"/>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29.563492063492063%"/>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Compare like conditions / access concerns / review question</w:t>
            </w:r>
          </w:p>
          <w:p>
            <w:pPr>
              <w:spacing w:line="432"/>
            </w:pPr>
          </w:p>
        </w:tc>
      </w:tr>
    </w:tbl>
    <w:p>
      <w:pPr>
        <w:spacing w:after="20" w:before="0"/>
      </w:pPr>
    </w:p>
    <w:p>
      <w:pPr>
        <w:keepNext/>
        <w:pageBreakBefore/>
        <w:spacing w:after="60" w:before="240"/>
      </w:pPr>
      <w:r>
        <w:rPr>
          <w:b/>
          <w:bCs/>
          <w:sz w:val="22"/>
          <w:szCs w:val="22"/>
        </w:rPr>
        <w:t xml:space="preserve">Follow-up over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Reference observation or teaching period</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Current teaching status / approved follow-up conditions</w:t>
            </w:r>
          </w:p>
          <w:p>
            <w:pPr>
              <w:spacing w:line="432"/>
            </w:pPr>
          </w:p>
        </w:tc>
      </w:tr>
    </w:tbl>
    <w:p>
      <w:pPr>
        <w:spacing w:after="20" w:before="0"/>
      </w:pPr>
    </w:p>
    <w:p>
      <w:pPr>
        <w:keepNext/>
        <w:spacing w:after="60" w:before="240"/>
      </w:pPr>
      <w:r>
        <w:rPr>
          <w:b/>
          <w:bCs/>
          <w:sz w:val="22"/>
          <w:szCs w:val="22"/>
        </w:rPr>
        <w:t xml:space="preserve">Maintenance question: record actual elapsed time and support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1"/>
        <w:gridCol w:w="1691"/>
        <w:gridCol w:w="2960"/>
        <w:gridCol w:w="4313"/>
      </w:tblGrid>
      <w:tr>
        <w:trPr>
          <w:cantSplit/>
          <w:tblHeader/>
        </w:trPr>
        <w:tc>
          <w:tcPr>
            <w:tcW w:type="pct" w:w="15.873015873015872%"/>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Observation</w:t>
            </w:r>
          </w:p>
        </w:tc>
        <w:tc>
          <w:tcPr>
            <w:tcW w:type="pct" w:w="15.873015873015872%"/>
            <w:tcBorders>
              <w:top w:val="single" w:color="555555" w:sz="6"/>
              <w:left w:val="single" w:color="555555" w:sz="6"/>
              <w:bottom w:val="single" w:color="555555" w:sz="6"/>
              <w:right w:val="single" w:color="555555" w:sz="6"/>
            </w:tcBorders>
            <w:shd w:fill="EEF0F2" w:color="auto" w:val="clear"/>
          </w:tcPr>
          <w:p>
            <w:r>
              <w:rPr>
                <w:b/>
                <w:bCs/>
                <w:sz w:val="16"/>
                <w:szCs w:val="16"/>
              </w:rPr>
              <w:t xml:space="preserve">Elapsed time</w:t>
            </w:r>
          </w:p>
        </w:tc>
        <w:tc>
          <w:tcPr>
            <w:tcW w:type="pct" w:w="27.77777777777778%"/>
            <w:tcBorders>
              <w:top w:val="single" w:color="555555" w:sz="6"/>
              <w:left w:val="single" w:color="555555" w:sz="6"/>
              <w:bottom w:val="single" w:color="555555" w:sz="6"/>
              <w:right w:val="single" w:color="555555" w:sz="6"/>
            </w:tcBorders>
            <w:shd w:fill="EEF0F2" w:color="auto" w:val="clear"/>
          </w:tcPr>
          <w:p>
            <w:r>
              <w:rPr>
                <w:b/>
                <w:bCs/>
                <w:sz w:val="16"/>
                <w:szCs w:val="16"/>
              </w:rPr>
              <w:t xml:space="preserve">Response / support</w:t>
            </w:r>
          </w:p>
        </w:tc>
        <w:tc>
          <w:tcPr>
            <w:tcW w:type="pct" w:w="40.476190476190474%"/>
            <w:tcBorders>
              <w:top w:val="single" w:color="555555" w:sz="6"/>
              <w:left w:val="single" w:color="555555" w:sz="6"/>
              <w:bottom w:val="single" w:color="555555" w:sz="6"/>
              <w:right w:val="single" w:color="555555" w:sz="6"/>
            </w:tcBorders>
            <w:shd w:fill="EEF0F2" w:color="auto" w:val="clear"/>
          </w:tcPr>
          <w:p>
            <w:r>
              <w:rPr>
                <w:b/>
                <w:bCs/>
                <w:sz w:val="16"/>
                <w:szCs w:val="16"/>
              </w:rPr>
              <w:t xml:space="preserve">Teaching / coverage / context</w:t>
            </w: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27.77777777777778%"/>
            <w:tcBorders>
              <w:top w:val="single" w:color="555555" w:sz="6"/>
              <w:left w:val="single" w:color="555555" w:sz="6"/>
              <w:bottom w:val="single" w:color="555555" w:sz="6"/>
              <w:right w:val="single" w:color="555555" w:sz="6"/>
            </w:tcBorders>
          </w:tcPr>
          <w:p/>
        </w:tc>
        <w:tc>
          <w:tcPr>
            <w:tcW w:type="pct" w:w="40.476190476190474%"/>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27.77777777777778%"/>
            <w:tcBorders>
              <w:top w:val="single" w:color="555555" w:sz="6"/>
              <w:left w:val="single" w:color="555555" w:sz="6"/>
              <w:bottom w:val="single" w:color="555555" w:sz="6"/>
              <w:right w:val="single" w:color="555555" w:sz="6"/>
            </w:tcBorders>
          </w:tcPr>
          <w:p/>
        </w:tc>
        <w:tc>
          <w:tcPr>
            <w:tcW w:type="pct" w:w="40.476190476190474%"/>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27.77777777777778%"/>
            <w:tcBorders>
              <w:top w:val="single" w:color="555555" w:sz="6"/>
              <w:left w:val="single" w:color="555555" w:sz="6"/>
              <w:bottom w:val="single" w:color="555555" w:sz="6"/>
              <w:right w:val="single" w:color="555555" w:sz="6"/>
            </w:tcBorders>
          </w:tcPr>
          <w:p/>
        </w:tc>
        <w:tc>
          <w:tcPr>
            <w:tcW w:type="pct" w:w="40.476190476190474%"/>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27.77777777777778%"/>
            <w:tcBorders>
              <w:top w:val="single" w:color="555555" w:sz="6"/>
              <w:left w:val="single" w:color="555555" w:sz="6"/>
              <w:bottom w:val="single" w:color="555555" w:sz="6"/>
              <w:right w:val="single" w:color="555555" w:sz="6"/>
            </w:tcBorders>
          </w:tcPr>
          <w:p/>
        </w:tc>
        <w:tc>
          <w:tcPr>
            <w:tcW w:type="pct" w:w="40.476190476190474%"/>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27.77777777777778%"/>
            <w:tcBorders>
              <w:top w:val="single" w:color="555555" w:sz="6"/>
              <w:left w:val="single" w:color="555555" w:sz="6"/>
              <w:bottom w:val="single" w:color="555555" w:sz="6"/>
              <w:right w:val="single" w:color="555555" w:sz="6"/>
            </w:tcBorders>
          </w:tcPr>
          <w:p/>
        </w:tc>
        <w:tc>
          <w:tcPr>
            <w:tcW w:type="pct" w:w="40.476190476190474%"/>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27.77777777777778%"/>
            <w:tcBorders>
              <w:top w:val="single" w:color="555555" w:sz="6"/>
              <w:left w:val="single" w:color="555555" w:sz="6"/>
              <w:bottom w:val="single" w:color="555555" w:sz="6"/>
              <w:right w:val="single" w:color="555555" w:sz="6"/>
            </w:tcBorders>
          </w:tcPr>
          <w:p/>
        </w:tc>
        <w:tc>
          <w:tcPr>
            <w:tcW w:type="pct" w:w="40.476190476190474%"/>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Keep reports separate from direct observations. No valid opportunity means no percentage. The record does not decide mastery, generalization or maintenance automatically.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Comparable source counts / missing or declined observations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 interpretation / decision / next review</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therapycrm.io/guides/aba-generalization-maintenance-data-sheet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Generalization and maintenance record</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Generalization and maintenance record</dc:title>
  <dc:creator>TherapyCRM</dc:creator>
  <dc:description>Keep changed contexts, time intervals, teaching conditions, support and source coverage visible.</dc:description>
  <cp:lastModifiedBy>Un-named</cp:lastModifiedBy>
  <cp:revision>1</cp:revision>
  <dcterms:created xsi:type="dcterms:W3CDTF">2026-10-10T07:14:11.216Z</dcterms:created>
  <dcterms:modified xsi:type="dcterms:W3CDTF">2026-10-10T07:14:11.216Z</dcterms:modified>
</cp:coreProperties>
</file>

<file path=docProps/custom.xml><?xml version="1.0" encoding="utf-8"?>
<Properties xmlns="http://schemas.openxmlformats.org/officeDocument/2006/custom-properties" xmlns:vt="http://schemas.openxmlformats.org/officeDocument/2006/docPropsVTypes"/>
</file>