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FBA evidence and support-plan review record</w:t>
      </w:r>
    </w:p>
    <w:p>
      <w:pPr>
        <w:spacing w:after="160"/>
      </w:pPr>
      <w:r>
        <w:rPr>
          <w:color w:val="444444"/>
          <w:sz w:val="18"/>
          <w:szCs w:val="18"/>
        </w:rPr>
        <w:t xml:space="preserve">An original evidence organizer; no assessment, functional-analysis or intervention protocol.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Referral question / learner and family priorities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Observable definition / exclusions / communication / participation</w:t>
            </w:r>
          </w:p>
          <w:p>
            <w:pPr>
              <w:spacing w:line="432"/>
            </w:pPr>
          </w:p>
        </w:tc>
      </w:tr>
    </w:tbl>
    <w:p>
      <w:pPr>
        <w:spacing w:after="20" w:before="0"/>
      </w:pPr>
    </w:p>
    <w:p>
      <w:pPr>
        <w:keepNext/>
        <w:spacing w:after="60" w:before="240"/>
      </w:pPr>
      <w:r>
        <w:rPr>
          <w:b/>
          <w:bCs/>
          <w:sz w:val="22"/>
          <w:szCs w:val="22"/>
        </w:rPr>
        <w:t xml:space="preserve">Evidence and uncertainty register</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3"/>
        <w:gridCol w:w="3489"/>
        <w:gridCol w:w="2326"/>
        <w:gridCol w:w="2939"/>
      </w:tblGrid>
      <w:tr>
        <w:trPr>
          <w:cantSplit/>
          <w:tblHeader/>
        </w:trPr>
        <w:tc>
          <w:tcPr>
            <w:tcW w:type="pct" w:w="17.857142857142858%"/>
            <w:tcBorders>
              <w:top w:val="single" w:color="555555" w:sz="6"/>
              <w:left w:val="single" w:color="555555" w:sz="6"/>
              <w:bottom w:val="single" w:color="555555" w:sz="6"/>
              <w:right w:val="single" w:color="555555" w:sz="6"/>
            </w:tcBorders>
            <w:shd w:fill="EEF0F2" w:color="auto" w:val="clear"/>
          </w:tcPr>
          <w:p>
            <w:r>
              <w:rPr>
                <w:b/>
                <w:bCs/>
                <w:sz w:val="16"/>
                <w:szCs w:val="16"/>
              </w:rPr>
              <w:t xml:space="preserve">Source / date</w:t>
            </w:r>
          </w:p>
        </w:tc>
        <w:tc>
          <w:tcPr>
            <w:tcW w:type="pct" w:w="32.73809523809524%"/>
            <w:tcBorders>
              <w:top w:val="single" w:color="555555" w:sz="6"/>
              <w:left w:val="single" w:color="555555" w:sz="6"/>
              <w:bottom w:val="single" w:color="555555" w:sz="6"/>
              <w:right w:val="single" w:color="555555" w:sz="6"/>
            </w:tcBorders>
            <w:shd w:fill="EEF0F2" w:color="auto" w:val="clear"/>
          </w:tcPr>
          <w:p>
            <w:r>
              <w:rPr>
                <w:b/>
                <w:bCs/>
                <w:sz w:val="16"/>
                <w:szCs w:val="16"/>
              </w:rPr>
              <w:t xml:space="preserve">Observed or reported evidence</w:t>
            </w:r>
          </w:p>
        </w:tc>
        <w:tc>
          <w:tcPr>
            <w:tcW w:type="pct" w:w="21.825396825396826%"/>
            <w:tcBorders>
              <w:top w:val="single" w:color="555555" w:sz="6"/>
              <w:left w:val="single" w:color="555555" w:sz="6"/>
              <w:bottom w:val="single" w:color="555555" w:sz="6"/>
              <w:right w:val="single" w:color="555555" w:sz="6"/>
            </w:tcBorders>
            <w:shd w:fill="EEF0F2" w:color="auto" w:val="clear"/>
          </w:tcPr>
          <w:p>
            <w:r>
              <w:rPr>
                <w:b/>
                <w:bCs/>
                <w:sz w:val="16"/>
                <w:szCs w:val="16"/>
              </w:rPr>
              <w:t xml:space="preserve">Coverage / limits</w:t>
            </w:r>
          </w:p>
        </w:tc>
        <w:tc>
          <w:tcPr>
            <w:tcW w:type="pct" w:w="27.579365079365083%"/>
            <w:tcBorders>
              <w:top w:val="single" w:color="555555" w:sz="6"/>
              <w:left w:val="single" w:color="555555" w:sz="6"/>
              <w:bottom w:val="single" w:color="555555" w:sz="6"/>
              <w:right w:val="single" w:color="555555" w:sz="6"/>
            </w:tcBorders>
            <w:shd w:fill="EEF0F2" w:color="auto" w:val="clear"/>
          </w:tcPr>
          <w:p>
            <w:r>
              <w:rPr>
                <w:b/>
                <w:bCs/>
                <w:sz w:val="16"/>
                <w:szCs w:val="16"/>
              </w:rPr>
              <w:t xml:space="preserve">Open review question</w:t>
            </w:r>
          </w:p>
        </w:tc>
      </w:tr>
      <w:tr>
        <w:trPr>
          <w:cantSplit/>
          <w:trHeight w:val="480" w:hRule="atLeast"/>
        </w:trPr>
        <w:tc>
          <w:tcPr>
            <w:tcW w:type="pct" w:w="17.857142857142858%"/>
            <w:tcBorders>
              <w:top w:val="single" w:color="555555" w:sz="6"/>
              <w:left w:val="single" w:color="555555" w:sz="6"/>
              <w:bottom w:val="single" w:color="555555" w:sz="6"/>
              <w:right w:val="single" w:color="555555" w:sz="6"/>
            </w:tcBorders>
          </w:tcPr>
          <w:p/>
        </w:tc>
        <w:tc>
          <w:tcPr>
            <w:tcW w:type="pct" w:w="32.73809523809524%"/>
            <w:tcBorders>
              <w:top w:val="single" w:color="555555" w:sz="6"/>
              <w:left w:val="single" w:color="555555" w:sz="6"/>
              <w:bottom w:val="single" w:color="555555" w:sz="6"/>
              <w:right w:val="single" w:color="555555" w:sz="6"/>
            </w:tcBorders>
          </w:tcPr>
          <w:p/>
        </w:tc>
        <w:tc>
          <w:tcPr>
            <w:tcW w:type="pct" w:w="21.825396825396826%"/>
            <w:tcBorders>
              <w:top w:val="single" w:color="555555" w:sz="6"/>
              <w:left w:val="single" w:color="555555" w:sz="6"/>
              <w:bottom w:val="single" w:color="555555" w:sz="6"/>
              <w:right w:val="single" w:color="555555" w:sz="6"/>
            </w:tcBorders>
          </w:tcPr>
          <w:p/>
        </w:tc>
        <w:tc>
          <w:tcPr>
            <w:tcW w:type="pct" w:w="27.579365079365083%"/>
            <w:tcBorders>
              <w:top w:val="single" w:color="555555" w:sz="6"/>
              <w:left w:val="single" w:color="555555" w:sz="6"/>
              <w:bottom w:val="single" w:color="555555" w:sz="6"/>
              <w:right w:val="single" w:color="555555" w:sz="6"/>
            </w:tcBorders>
          </w:tcPr>
          <w:p/>
        </w:tc>
      </w:tr>
      <w:tr>
        <w:trPr>
          <w:cantSplit/>
          <w:trHeight w:val="480" w:hRule="atLeast"/>
        </w:trPr>
        <w:tc>
          <w:tcPr>
            <w:tcW w:type="pct" w:w="17.857142857142858%"/>
            <w:tcBorders>
              <w:top w:val="single" w:color="555555" w:sz="6"/>
              <w:left w:val="single" w:color="555555" w:sz="6"/>
              <w:bottom w:val="single" w:color="555555" w:sz="6"/>
              <w:right w:val="single" w:color="555555" w:sz="6"/>
            </w:tcBorders>
          </w:tcPr>
          <w:p/>
        </w:tc>
        <w:tc>
          <w:tcPr>
            <w:tcW w:type="pct" w:w="32.73809523809524%"/>
            <w:tcBorders>
              <w:top w:val="single" w:color="555555" w:sz="6"/>
              <w:left w:val="single" w:color="555555" w:sz="6"/>
              <w:bottom w:val="single" w:color="555555" w:sz="6"/>
              <w:right w:val="single" w:color="555555" w:sz="6"/>
            </w:tcBorders>
          </w:tcPr>
          <w:p/>
        </w:tc>
        <w:tc>
          <w:tcPr>
            <w:tcW w:type="pct" w:w="21.825396825396826%"/>
            <w:tcBorders>
              <w:top w:val="single" w:color="555555" w:sz="6"/>
              <w:left w:val="single" w:color="555555" w:sz="6"/>
              <w:bottom w:val="single" w:color="555555" w:sz="6"/>
              <w:right w:val="single" w:color="555555" w:sz="6"/>
            </w:tcBorders>
          </w:tcPr>
          <w:p/>
        </w:tc>
        <w:tc>
          <w:tcPr>
            <w:tcW w:type="pct" w:w="27.579365079365083%"/>
            <w:tcBorders>
              <w:top w:val="single" w:color="555555" w:sz="6"/>
              <w:left w:val="single" w:color="555555" w:sz="6"/>
              <w:bottom w:val="single" w:color="555555" w:sz="6"/>
              <w:right w:val="single" w:color="555555" w:sz="6"/>
            </w:tcBorders>
          </w:tcPr>
          <w:p/>
        </w:tc>
      </w:tr>
      <w:tr>
        <w:trPr>
          <w:cantSplit/>
          <w:trHeight w:val="480" w:hRule="atLeast"/>
        </w:trPr>
        <w:tc>
          <w:tcPr>
            <w:tcW w:type="pct" w:w="17.857142857142858%"/>
            <w:tcBorders>
              <w:top w:val="single" w:color="555555" w:sz="6"/>
              <w:left w:val="single" w:color="555555" w:sz="6"/>
              <w:bottom w:val="single" w:color="555555" w:sz="6"/>
              <w:right w:val="single" w:color="555555" w:sz="6"/>
            </w:tcBorders>
          </w:tcPr>
          <w:p/>
        </w:tc>
        <w:tc>
          <w:tcPr>
            <w:tcW w:type="pct" w:w="32.73809523809524%"/>
            <w:tcBorders>
              <w:top w:val="single" w:color="555555" w:sz="6"/>
              <w:left w:val="single" w:color="555555" w:sz="6"/>
              <w:bottom w:val="single" w:color="555555" w:sz="6"/>
              <w:right w:val="single" w:color="555555" w:sz="6"/>
            </w:tcBorders>
          </w:tcPr>
          <w:p/>
        </w:tc>
        <w:tc>
          <w:tcPr>
            <w:tcW w:type="pct" w:w="21.825396825396826%"/>
            <w:tcBorders>
              <w:top w:val="single" w:color="555555" w:sz="6"/>
              <w:left w:val="single" w:color="555555" w:sz="6"/>
              <w:bottom w:val="single" w:color="555555" w:sz="6"/>
              <w:right w:val="single" w:color="555555" w:sz="6"/>
            </w:tcBorders>
          </w:tcPr>
          <w:p/>
        </w:tc>
        <w:tc>
          <w:tcPr>
            <w:tcW w:type="pct" w:w="27.579365079365083%"/>
            <w:tcBorders>
              <w:top w:val="single" w:color="555555" w:sz="6"/>
              <w:left w:val="single" w:color="555555" w:sz="6"/>
              <w:bottom w:val="single" w:color="555555" w:sz="6"/>
              <w:right w:val="single" w:color="555555" w:sz="6"/>
            </w:tcBorders>
          </w:tcPr>
          <w:p/>
        </w:tc>
      </w:tr>
      <w:tr>
        <w:trPr>
          <w:cantSplit/>
          <w:trHeight w:val="480" w:hRule="atLeast"/>
        </w:trPr>
        <w:tc>
          <w:tcPr>
            <w:tcW w:type="pct" w:w="17.857142857142858%"/>
            <w:tcBorders>
              <w:top w:val="single" w:color="555555" w:sz="6"/>
              <w:left w:val="single" w:color="555555" w:sz="6"/>
              <w:bottom w:val="single" w:color="555555" w:sz="6"/>
              <w:right w:val="single" w:color="555555" w:sz="6"/>
            </w:tcBorders>
          </w:tcPr>
          <w:p/>
        </w:tc>
        <w:tc>
          <w:tcPr>
            <w:tcW w:type="pct" w:w="32.73809523809524%"/>
            <w:tcBorders>
              <w:top w:val="single" w:color="555555" w:sz="6"/>
              <w:left w:val="single" w:color="555555" w:sz="6"/>
              <w:bottom w:val="single" w:color="555555" w:sz="6"/>
              <w:right w:val="single" w:color="555555" w:sz="6"/>
            </w:tcBorders>
          </w:tcPr>
          <w:p/>
        </w:tc>
        <w:tc>
          <w:tcPr>
            <w:tcW w:type="pct" w:w="21.825396825396826%"/>
            <w:tcBorders>
              <w:top w:val="single" w:color="555555" w:sz="6"/>
              <w:left w:val="single" w:color="555555" w:sz="6"/>
              <w:bottom w:val="single" w:color="555555" w:sz="6"/>
              <w:right w:val="single" w:color="555555" w:sz="6"/>
            </w:tcBorders>
          </w:tcPr>
          <w:p/>
        </w:tc>
        <w:tc>
          <w:tcPr>
            <w:tcW w:type="pct" w:w="27.579365079365083%"/>
            <w:tcBorders>
              <w:top w:val="single" w:color="555555" w:sz="6"/>
              <w:left w:val="single" w:color="555555" w:sz="6"/>
              <w:bottom w:val="single" w:color="555555" w:sz="6"/>
              <w:right w:val="single" w:color="555555" w:sz="6"/>
            </w:tcBorders>
          </w:tcPr>
          <w:p/>
        </w:tc>
      </w:tr>
      <w:tr>
        <w:trPr>
          <w:cantSplit/>
          <w:trHeight w:val="480" w:hRule="atLeast"/>
        </w:trPr>
        <w:tc>
          <w:tcPr>
            <w:tcW w:type="pct" w:w="17.857142857142858%"/>
            <w:tcBorders>
              <w:top w:val="single" w:color="555555" w:sz="6"/>
              <w:left w:val="single" w:color="555555" w:sz="6"/>
              <w:bottom w:val="single" w:color="555555" w:sz="6"/>
              <w:right w:val="single" w:color="555555" w:sz="6"/>
            </w:tcBorders>
          </w:tcPr>
          <w:p/>
        </w:tc>
        <w:tc>
          <w:tcPr>
            <w:tcW w:type="pct" w:w="32.73809523809524%"/>
            <w:tcBorders>
              <w:top w:val="single" w:color="555555" w:sz="6"/>
              <w:left w:val="single" w:color="555555" w:sz="6"/>
              <w:bottom w:val="single" w:color="555555" w:sz="6"/>
              <w:right w:val="single" w:color="555555" w:sz="6"/>
            </w:tcBorders>
          </w:tcPr>
          <w:p/>
        </w:tc>
        <w:tc>
          <w:tcPr>
            <w:tcW w:type="pct" w:w="21.825396825396826%"/>
            <w:tcBorders>
              <w:top w:val="single" w:color="555555" w:sz="6"/>
              <w:left w:val="single" w:color="555555" w:sz="6"/>
              <w:bottom w:val="single" w:color="555555" w:sz="6"/>
              <w:right w:val="single" w:color="555555" w:sz="6"/>
            </w:tcBorders>
          </w:tcPr>
          <w:p/>
        </w:tc>
        <w:tc>
          <w:tcPr>
            <w:tcW w:type="pct" w:w="27.579365079365083%"/>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Hypothesis status / conflicting evidence / responsible clinician</w:t>
            </w:r>
          </w:p>
          <w:p>
            <w:pPr>
              <w:spacing w:line="432"/>
            </w:pPr>
          </w:p>
        </w:tc>
      </w:tr>
    </w:tbl>
    <w:p>
      <w:pPr>
        <w:spacing w:after="20" w:before="0"/>
      </w:pPr>
    </w:p>
    <w:p>
      <w:pPr>
        <w:keepNext/>
        <w:pageBreakBefore/>
        <w:spacing w:after="60" w:before="240"/>
      </w:pPr>
      <w:r>
        <w:rPr>
          <w:b/>
          <w:bCs/>
          <w:sz w:val="22"/>
          <w:szCs w:val="22"/>
        </w:rPr>
        <w:t xml:space="preserve">Reference the approved support plan directly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Approved plan / version / responsible clinician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Authorized support and individualized stop/escalation references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Learner outcome and access measures / definitions</w:t>
            </w:r>
          </w:p>
          <w:p>
            <w:pPr>
              <w:spacing w:line="432"/>
            </w:pPr>
          </w:p>
        </w:tc>
      </w:tr>
    </w:tbl>
    <w:p>
      <w:pPr>
        <w:spacing w:after="20" w:before="0"/>
      </w:pPr>
    </w:p>
    <w:p>
      <w:pPr>
        <w:keepNext/>
        <w:spacing w:after="60" w:before="240"/>
      </w:pPr>
      <w:r>
        <w:rPr>
          <w:b/>
          <w:bCs/>
          <w:sz w:val="22"/>
          <w:szCs w:val="22"/>
        </w:rPr>
        <w:t xml:space="preserve">Implementation and outcome review</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2114"/>
        <w:gridCol w:w="3171"/>
        <w:gridCol w:w="2093"/>
      </w:tblGrid>
      <w:tr>
        <w:trPr>
          <w:cantSplit/>
          <w:tblHeader/>
        </w:trPr>
        <w:tc>
          <w:tcPr>
            <w:tcW w:type="pct" w:w="30.753968253968257%"/>
            <w:tcBorders>
              <w:top w:val="single" w:color="555555" w:sz="6"/>
              <w:left w:val="single" w:color="555555" w:sz="6"/>
              <w:bottom w:val="single" w:color="555555" w:sz="6"/>
              <w:right w:val="single" w:color="555555" w:sz="6"/>
            </w:tcBorders>
            <w:shd w:fill="EEF0F2" w:color="auto" w:val="clear"/>
          </w:tcPr>
          <w:p>
            <w:r>
              <w:rPr>
                <w:b/>
                <w:bCs/>
                <w:sz w:val="16"/>
                <w:szCs w:val="16"/>
              </w:rPr>
              <w:t xml:space="preserve">Review item / source</w:t>
            </w:r>
          </w:p>
        </w:tc>
        <w:tc>
          <w:tcPr>
            <w:tcW w:type="pct" w:w="19.841269841269842%"/>
            <w:tcBorders>
              <w:top w:val="single" w:color="555555" w:sz="6"/>
              <w:left w:val="single" w:color="555555" w:sz="6"/>
              <w:bottom w:val="single" w:color="555555" w:sz="6"/>
              <w:right w:val="single" w:color="555555" w:sz="6"/>
            </w:tcBorders>
            <w:shd w:fill="EEF0F2" w:color="auto" w:val="clear"/>
          </w:tcPr>
          <w:p>
            <w:r>
              <w:rPr>
                <w:b/>
                <w:bCs/>
                <w:sz w:val="16"/>
                <w:szCs w:val="16"/>
              </w:rPr>
              <w:t xml:space="preserve">Status / coverage</w:t>
            </w:r>
          </w:p>
        </w:tc>
        <w:tc>
          <w:tcPr>
            <w:tcW w:type="pct" w:w="29.761904761904763%"/>
            <w:tcBorders>
              <w:top w:val="single" w:color="555555" w:sz="6"/>
              <w:left w:val="single" w:color="555555" w:sz="6"/>
              <w:bottom w:val="single" w:color="555555" w:sz="6"/>
              <w:right w:val="single" w:color="555555" w:sz="6"/>
            </w:tcBorders>
            <w:shd w:fill="EEF0F2" w:color="auto" w:val="clear"/>
          </w:tcPr>
          <w:p>
            <w:r>
              <w:rPr>
                <w:b/>
                <w:bCs/>
                <w:sz w:val="16"/>
                <w:szCs w:val="16"/>
              </w:rPr>
              <w:t xml:space="preserve">Observation / limitation</w:t>
            </w:r>
          </w:p>
        </w:tc>
        <w:tc>
          <w:tcPr>
            <w:tcW w:type="pct" w:w="19.642857142857142%"/>
            <w:tcBorders>
              <w:top w:val="single" w:color="555555" w:sz="6"/>
              <w:left w:val="single" w:color="555555" w:sz="6"/>
              <w:bottom w:val="single" w:color="555555" w:sz="6"/>
              <w:right w:val="single" w:color="555555" w:sz="6"/>
            </w:tcBorders>
            <w:shd w:fill="EEF0F2" w:color="auto" w:val="clear"/>
          </w:tcPr>
          <w:p>
            <w:r>
              <w:rPr>
                <w:b/>
                <w:bCs/>
                <w:sz w:val="16"/>
                <w:szCs w:val="16"/>
              </w:rPr>
              <w:t xml:space="preserve">Review question</w:t>
            </w:r>
          </w:p>
        </w:tc>
      </w:tr>
      <w:tr>
        <w:trPr>
          <w:cantSplit/>
          <w:trHeight w:val="480" w:hRule="atLeast"/>
        </w:trPr>
        <w:tc>
          <w:tcPr>
            <w:tcW w:type="pct" w:w="30.753968253968257%"/>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29.761904761904763%"/>
            <w:tcBorders>
              <w:top w:val="single" w:color="555555" w:sz="6"/>
              <w:left w:val="single" w:color="555555" w:sz="6"/>
              <w:bottom w:val="single" w:color="555555" w:sz="6"/>
              <w:right w:val="single" w:color="555555" w:sz="6"/>
            </w:tcBorders>
          </w:tcPr>
          <w:p/>
        </w:tc>
        <w:tc>
          <w:tcPr>
            <w:tcW w:type="pct" w:w="19.642857142857142%"/>
            <w:tcBorders>
              <w:top w:val="single" w:color="555555" w:sz="6"/>
              <w:left w:val="single" w:color="555555" w:sz="6"/>
              <w:bottom w:val="single" w:color="555555" w:sz="6"/>
              <w:right w:val="single" w:color="555555" w:sz="6"/>
            </w:tcBorders>
          </w:tcPr>
          <w:p/>
        </w:tc>
      </w:tr>
      <w:tr>
        <w:trPr>
          <w:cantSplit/>
          <w:trHeight w:val="480" w:hRule="atLeast"/>
        </w:trPr>
        <w:tc>
          <w:tcPr>
            <w:tcW w:type="pct" w:w="30.753968253968257%"/>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29.761904761904763%"/>
            <w:tcBorders>
              <w:top w:val="single" w:color="555555" w:sz="6"/>
              <w:left w:val="single" w:color="555555" w:sz="6"/>
              <w:bottom w:val="single" w:color="555555" w:sz="6"/>
              <w:right w:val="single" w:color="555555" w:sz="6"/>
            </w:tcBorders>
          </w:tcPr>
          <w:p/>
        </w:tc>
        <w:tc>
          <w:tcPr>
            <w:tcW w:type="pct" w:w="19.642857142857142%"/>
            <w:tcBorders>
              <w:top w:val="single" w:color="555555" w:sz="6"/>
              <w:left w:val="single" w:color="555555" w:sz="6"/>
              <w:bottom w:val="single" w:color="555555" w:sz="6"/>
              <w:right w:val="single" w:color="555555" w:sz="6"/>
            </w:tcBorders>
          </w:tcPr>
          <w:p/>
        </w:tc>
      </w:tr>
      <w:tr>
        <w:trPr>
          <w:cantSplit/>
          <w:trHeight w:val="480" w:hRule="atLeast"/>
        </w:trPr>
        <w:tc>
          <w:tcPr>
            <w:tcW w:type="pct" w:w="30.753968253968257%"/>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29.761904761904763%"/>
            <w:tcBorders>
              <w:top w:val="single" w:color="555555" w:sz="6"/>
              <w:left w:val="single" w:color="555555" w:sz="6"/>
              <w:bottom w:val="single" w:color="555555" w:sz="6"/>
              <w:right w:val="single" w:color="555555" w:sz="6"/>
            </w:tcBorders>
          </w:tcPr>
          <w:p/>
        </w:tc>
        <w:tc>
          <w:tcPr>
            <w:tcW w:type="pct" w:w="19.642857142857142%"/>
            <w:tcBorders>
              <w:top w:val="single" w:color="555555" w:sz="6"/>
              <w:left w:val="single" w:color="555555" w:sz="6"/>
              <w:bottom w:val="single" w:color="555555" w:sz="6"/>
              <w:right w:val="single" w:color="555555" w:sz="6"/>
            </w:tcBorders>
          </w:tcPr>
          <w:p/>
        </w:tc>
      </w:tr>
      <w:tr>
        <w:trPr>
          <w:cantSplit/>
          <w:trHeight w:val="480" w:hRule="atLeast"/>
        </w:trPr>
        <w:tc>
          <w:tcPr>
            <w:tcW w:type="pct" w:w="30.753968253968257%"/>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29.761904761904763%"/>
            <w:tcBorders>
              <w:top w:val="single" w:color="555555" w:sz="6"/>
              <w:left w:val="single" w:color="555555" w:sz="6"/>
              <w:bottom w:val="single" w:color="555555" w:sz="6"/>
              <w:right w:val="single" w:color="555555" w:sz="6"/>
            </w:tcBorders>
          </w:tcPr>
          <w:p/>
        </w:tc>
        <w:tc>
          <w:tcPr>
            <w:tcW w:type="pct" w:w="19.642857142857142%"/>
            <w:tcBorders>
              <w:top w:val="single" w:color="555555" w:sz="6"/>
              <w:left w:val="single" w:color="555555" w:sz="6"/>
              <w:bottom w:val="single" w:color="555555" w:sz="6"/>
              <w:right w:val="single" w:color="555555" w:sz="6"/>
            </w:tcBorders>
          </w:tcPr>
          <w:p/>
        </w:tc>
      </w:tr>
      <w:tr>
        <w:trPr>
          <w:cantSplit/>
          <w:trHeight w:val="480" w:hRule="atLeast"/>
        </w:trPr>
        <w:tc>
          <w:tcPr>
            <w:tcW w:type="pct" w:w="30.753968253968257%"/>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29.761904761904763%"/>
            <w:tcBorders>
              <w:top w:val="single" w:color="555555" w:sz="6"/>
              <w:left w:val="single" w:color="555555" w:sz="6"/>
              <w:bottom w:val="single" w:color="555555" w:sz="6"/>
              <w:right w:val="single" w:color="555555" w:sz="6"/>
            </w:tcBorders>
          </w:tcPr>
          <w:p/>
        </w:tc>
        <w:tc>
          <w:tcPr>
            <w:tcW w:type="pct" w:w="19.642857142857142%"/>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Clinician interpretation / authorization status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Decision / next review / new version reference</w:t>
            </w:r>
          </w:p>
          <w:p>
            <w:pPr>
              <w:spacing w:line="432"/>
            </w:pPr>
          </w:p>
        </w:tc>
      </w:tr>
    </w:tbl>
    <w:p>
      <w:pPr>
        <w:spacing w:after="20" w:before="0"/>
      </w:pPr>
    </w:p>
    <w:p>
      <w:pPr>
        <w:spacing w:after="100" w:before="100"/>
      </w:pPr>
      <w:r>
        <w:rPr>
          <w:color w:val="333333"/>
          <w:sz w:val="17"/>
          <w:szCs w:val="17"/>
        </w:rPr>
        <w:t xml:space="preserve">Do not insert an unapproved procedure, causal conclusion or copied assessment item. A draft record is not authorization or a regulator-required form.</w:t>
      </w: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therapycrm.io/guides/aba-fba-behavior-support-documentation</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FBA evidence and support-plan review record</w:t>
    </w:r>
  </w:p>
  <w:p>
    <w:r>
      <w:rPr>
        <w:color w:val="333333"/>
        <w:sz w:val="16"/>
        <w:szCs w:val="16"/>
      </w:rPr>
      <w:t xml:space="preserve">Client reference: __________________     Date / observation reference: __________________</w:t>
    </w:r>
  </w:p>
  <w:p>
    <w:r>
      <w:rPr>
        <w:color w:val="333333"/>
        <w:sz w:val="16"/>
        <w:szCs w:val="16"/>
      </w:rPr>
      <w:t xml:space="preserve">Recorder: __________________     Definition / plan version: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FBA evidence and support-plan review record</dc:title>
  <dc:creator>TherapyCRM</dc:creator>
  <dc:description>An original evidence organizer; no assessment, functional-analysis or intervention protocol.</dc:description>
  <cp:lastModifiedBy>Un-named</cp:lastModifiedBy>
  <cp:revision>1</cp:revision>
  <dcterms:created xsi:type="dcterms:W3CDTF">2026-10-10T07:14:13.629Z</dcterms:created>
  <dcterms:modified xsi:type="dcterms:W3CDTF">2026-10-10T07:14:13.629Z</dcterms:modified>
</cp:coreProperties>
</file>

<file path=docProps/custom.xml><?xml version="1.0" encoding="utf-8"?>
<Properties xmlns="http://schemas.openxmlformats.org/officeDocument/2006/custom-properties" xmlns:vt="http://schemas.openxmlformats.org/officeDocument/2006/docPropsVTypes"/>
</file>