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Duration and latency observation pack</w:t>
      </w:r>
    </w:p>
    <w:p>
      <w:pPr>
        <w:spacing w:after="160"/>
      </w:pPr>
      <w:r>
        <w:rPr>
          <w:color w:val="444444"/>
          <w:sz w:val="18"/>
          <w:szCs w:val="18"/>
        </w:rPr>
        <w:t xml:space="preserve">Separate event-time and cue-to-onset records; state the valid window and missing observations.</w:t>
      </w:r>
    </w:p>
    <w:p>
      <w:pPr>
        <w:keepNext/>
        <w:spacing w:after="60" w:before="240"/>
      </w:pPr>
      <w:r>
        <w:rPr>
          <w:b/>
          <w:bCs/>
          <w:sz w:val="22"/>
          <w:szCs w:val="22"/>
        </w:rPr>
        <w:t xml:space="preserve">Duration: define before timing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Observable event / examples / exclusions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Onset and offset rules / unit</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Planned window / actual valid observation time</w:t>
            </w:r>
          </w:p>
          <w:p>
            <w:pPr>
              <w:spacing w:line="432"/>
            </w:pPr>
          </w:p>
        </w:tc>
      </w:tr>
    </w:tbl>
    <w:p>
      <w:pPr>
        <w:spacing w:after="20" w:before="0"/>
      </w:pPr>
    </w:p>
    <w:p>
      <w:pPr>
        <w:keepNext/>
        <w:spacing w:after="60" w:before="240"/>
      </w:pPr>
      <w:r>
        <w:rPr>
          <w:b/>
          <w:bCs/>
          <w:sz w:val="22"/>
          <w:szCs w:val="22"/>
        </w:rPr>
        <w:t xml:space="preserve">Observed episodes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1"/>
        <w:gridCol w:w="1480"/>
        <w:gridCol w:w="1480"/>
        <w:gridCol w:w="1903"/>
        <w:gridCol w:w="4842"/>
      </w:tblGrid>
      <w:tr>
        <w:trPr>
          <w:cantSplit/>
          <w:tblHeader/>
        </w:trPr>
        <w:tc>
          <w:tcPr>
            <w:tcW w:type="pct" w:w="8.928571428571429%"/>
            <w:tcBorders>
              <w:top w:val="single" w:color="555555" w:sz="6"/>
              <w:left w:val="single" w:color="555555" w:sz="6"/>
              <w:bottom w:val="single" w:color="555555" w:sz="6"/>
              <w:right w:val="single" w:color="555555" w:sz="6"/>
            </w:tcBorders>
            <w:shd w:fill="EEF0F2" w:color="auto" w:val="clear"/>
          </w:tcPr>
          <w:p>
            <w:r>
              <w:rPr>
                <w:b/>
                <w:bCs/>
                <w:sz w:val="16"/>
                <w:szCs w:val="16"/>
              </w:rPr>
              <w:t xml:space="preserve">Episode</w:t>
            </w:r>
          </w:p>
        </w:tc>
        <w:tc>
          <w:tcPr>
            <w:tcW w:type="pct" w:w="13.88888888888889%"/>
            <w:tcBorders>
              <w:top w:val="single" w:color="555555" w:sz="6"/>
              <w:left w:val="single" w:color="555555" w:sz="6"/>
              <w:bottom w:val="single" w:color="555555" w:sz="6"/>
              <w:right w:val="single" w:color="555555" w:sz="6"/>
            </w:tcBorders>
            <w:shd w:fill="EEF0F2" w:color="auto" w:val="clear"/>
          </w:tcPr>
          <w:p>
            <w:r>
              <w:rPr>
                <w:b/>
                <w:bCs/>
                <w:sz w:val="16"/>
                <w:szCs w:val="16"/>
              </w:rPr>
              <w:t xml:space="preserve">Start</w:t>
            </w:r>
          </w:p>
        </w:tc>
        <w:tc>
          <w:tcPr>
            <w:tcW w:type="pct" w:w="13.88888888888889%"/>
            <w:tcBorders>
              <w:top w:val="single" w:color="555555" w:sz="6"/>
              <w:left w:val="single" w:color="555555" w:sz="6"/>
              <w:bottom w:val="single" w:color="555555" w:sz="6"/>
              <w:right w:val="single" w:color="555555" w:sz="6"/>
            </w:tcBorders>
            <w:shd w:fill="EEF0F2" w:color="auto" w:val="clear"/>
          </w:tcPr>
          <w:p>
            <w:r>
              <w:rPr>
                <w:b/>
                <w:bCs/>
                <w:sz w:val="16"/>
                <w:szCs w:val="16"/>
              </w:rPr>
              <w:t xml:space="preserve">Stop</w:t>
            </w:r>
          </w:p>
        </w:tc>
        <w:tc>
          <w:tcPr>
            <w:tcW w:type="pct" w:w="17.857142857142858%"/>
            <w:tcBorders>
              <w:top w:val="single" w:color="555555" w:sz="6"/>
              <w:left w:val="single" w:color="555555" w:sz="6"/>
              <w:bottom w:val="single" w:color="555555" w:sz="6"/>
              <w:right w:val="single" w:color="555555" w:sz="6"/>
            </w:tcBorders>
            <w:shd w:fill="EEF0F2" w:color="auto" w:val="clear"/>
          </w:tcPr>
          <w:p>
            <w:r>
              <w:rPr>
                <w:b/>
                <w:bCs/>
                <w:sz w:val="16"/>
                <w:szCs w:val="16"/>
              </w:rPr>
              <w:t xml:space="preserve">Duration + unit</w:t>
            </w:r>
          </w:p>
        </w:tc>
        <w:tc>
          <w:tcPr>
            <w:tcW w:type="pct" w:w="45.43650793650794%"/>
            <w:tcBorders>
              <w:top w:val="single" w:color="555555" w:sz="6"/>
              <w:left w:val="single" w:color="555555" w:sz="6"/>
              <w:bottom w:val="single" w:color="555555" w:sz="6"/>
              <w:right w:val="single" w:color="555555" w:sz="6"/>
            </w:tcBorders>
            <w:shd w:fill="EEF0F2" w:color="auto" w:val="clear"/>
          </w:tcPr>
          <w:p>
            <w:r>
              <w:rPr>
                <w:b/>
                <w:bCs/>
                <w:sz w:val="16"/>
                <w:szCs w:val="16"/>
              </w:rPr>
              <w:t xml:space="preserve">Status / interruption / support</w:t>
            </w:r>
          </w:p>
        </w:tc>
      </w:tr>
      <w:tr>
        <w:trPr>
          <w:cantSplit/>
          <w:trHeight w:val="480" w:hRule="atLeast"/>
        </w:trPr>
        <w:tc>
          <w:tcPr>
            <w:tcW w:type="pct" w:w="8.92857142857142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7.857142857142858%"/>
            <w:tcBorders>
              <w:top w:val="single" w:color="555555" w:sz="6"/>
              <w:left w:val="single" w:color="555555" w:sz="6"/>
              <w:bottom w:val="single" w:color="555555" w:sz="6"/>
              <w:right w:val="single" w:color="555555" w:sz="6"/>
            </w:tcBorders>
          </w:tcPr>
          <w:p/>
        </w:tc>
        <w:tc>
          <w:tcPr>
            <w:tcW w:type="pct" w:w="45.43650793650794%"/>
            <w:tcBorders>
              <w:top w:val="single" w:color="555555" w:sz="6"/>
              <w:left w:val="single" w:color="555555" w:sz="6"/>
              <w:bottom w:val="single" w:color="555555" w:sz="6"/>
              <w:right w:val="single" w:color="555555" w:sz="6"/>
            </w:tcBorders>
          </w:tcPr>
          <w:p/>
        </w:tc>
      </w:tr>
      <w:tr>
        <w:trPr>
          <w:cantSplit/>
          <w:trHeight w:val="480" w:hRule="atLeast"/>
        </w:trPr>
        <w:tc>
          <w:tcPr>
            <w:tcW w:type="pct" w:w="8.92857142857142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7.857142857142858%"/>
            <w:tcBorders>
              <w:top w:val="single" w:color="555555" w:sz="6"/>
              <w:left w:val="single" w:color="555555" w:sz="6"/>
              <w:bottom w:val="single" w:color="555555" w:sz="6"/>
              <w:right w:val="single" w:color="555555" w:sz="6"/>
            </w:tcBorders>
          </w:tcPr>
          <w:p/>
        </w:tc>
        <w:tc>
          <w:tcPr>
            <w:tcW w:type="pct" w:w="45.43650793650794%"/>
            <w:tcBorders>
              <w:top w:val="single" w:color="555555" w:sz="6"/>
              <w:left w:val="single" w:color="555555" w:sz="6"/>
              <w:bottom w:val="single" w:color="555555" w:sz="6"/>
              <w:right w:val="single" w:color="555555" w:sz="6"/>
            </w:tcBorders>
          </w:tcPr>
          <w:p/>
        </w:tc>
      </w:tr>
      <w:tr>
        <w:trPr>
          <w:cantSplit/>
          <w:trHeight w:val="480" w:hRule="atLeast"/>
        </w:trPr>
        <w:tc>
          <w:tcPr>
            <w:tcW w:type="pct" w:w="8.92857142857142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7.857142857142858%"/>
            <w:tcBorders>
              <w:top w:val="single" w:color="555555" w:sz="6"/>
              <w:left w:val="single" w:color="555555" w:sz="6"/>
              <w:bottom w:val="single" w:color="555555" w:sz="6"/>
              <w:right w:val="single" w:color="555555" w:sz="6"/>
            </w:tcBorders>
          </w:tcPr>
          <w:p/>
        </w:tc>
        <w:tc>
          <w:tcPr>
            <w:tcW w:type="pct" w:w="45.43650793650794%"/>
            <w:tcBorders>
              <w:top w:val="single" w:color="555555" w:sz="6"/>
              <w:left w:val="single" w:color="555555" w:sz="6"/>
              <w:bottom w:val="single" w:color="555555" w:sz="6"/>
              <w:right w:val="single" w:color="555555" w:sz="6"/>
            </w:tcBorders>
          </w:tcPr>
          <w:p/>
        </w:tc>
      </w:tr>
      <w:tr>
        <w:trPr>
          <w:cantSplit/>
          <w:trHeight w:val="480" w:hRule="atLeast"/>
        </w:trPr>
        <w:tc>
          <w:tcPr>
            <w:tcW w:type="pct" w:w="8.92857142857142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7.857142857142858%"/>
            <w:tcBorders>
              <w:top w:val="single" w:color="555555" w:sz="6"/>
              <w:left w:val="single" w:color="555555" w:sz="6"/>
              <w:bottom w:val="single" w:color="555555" w:sz="6"/>
              <w:right w:val="single" w:color="555555" w:sz="6"/>
            </w:tcBorders>
          </w:tcPr>
          <w:p/>
        </w:tc>
        <w:tc>
          <w:tcPr>
            <w:tcW w:type="pct" w:w="45.43650793650794%"/>
            <w:tcBorders>
              <w:top w:val="single" w:color="555555" w:sz="6"/>
              <w:left w:val="single" w:color="555555" w:sz="6"/>
              <w:bottom w:val="single" w:color="555555" w:sz="6"/>
              <w:right w:val="single" w:color="555555" w:sz="6"/>
            </w:tcBorders>
          </w:tcPr>
          <w:p/>
        </w:tc>
      </w:tr>
      <w:tr>
        <w:trPr>
          <w:cantSplit/>
          <w:trHeight w:val="480" w:hRule="atLeast"/>
        </w:trPr>
        <w:tc>
          <w:tcPr>
            <w:tcW w:type="pct" w:w="8.92857142857142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3.88888888888889%"/>
            <w:tcBorders>
              <w:top w:val="single" w:color="555555" w:sz="6"/>
              <w:left w:val="single" w:color="555555" w:sz="6"/>
              <w:bottom w:val="single" w:color="555555" w:sz="6"/>
              <w:right w:val="single" w:color="555555" w:sz="6"/>
            </w:tcBorders>
          </w:tcPr>
          <w:p/>
        </w:tc>
        <w:tc>
          <w:tcPr>
            <w:tcW w:type="pct" w:w="17.857142857142858%"/>
            <w:tcBorders>
              <w:top w:val="single" w:color="555555" w:sz="6"/>
              <w:left w:val="single" w:color="555555" w:sz="6"/>
              <w:bottom w:val="single" w:color="555555" w:sz="6"/>
              <w:right w:val="single" w:color="555555" w:sz="6"/>
            </w:tcBorders>
          </w:tcPr>
          <w:p/>
        </w:tc>
        <w:tc>
          <w:tcPr>
            <w:tcW w:type="pct" w:w="45.43650793650794%"/>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Total nonoverlapping observed duration / valid observed time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Incomplete episodes / missed coverage / review decision</w:t>
            </w:r>
          </w:p>
          <w:p>
            <w:pPr>
              <w:spacing w:line="432"/>
            </w:pPr>
          </w:p>
        </w:tc>
      </w:tr>
    </w:tbl>
    <w:p>
      <w:pPr>
        <w:spacing w:after="20" w:before="0"/>
      </w:pPr>
    </w:p>
    <w:p>
      <w:pPr>
        <w:keepNext/>
        <w:pageBreakBefore/>
        <w:spacing w:after="60" w:before="240"/>
      </w:pPr>
      <w:r>
        <w:rPr>
          <w:b/>
          <w:bCs/>
          <w:sz w:val="22"/>
          <w:szCs w:val="22"/>
        </w:rPr>
        <w:t xml:space="preserve">Latency: cue to response onset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Defined cue and response onset / unit</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Observation limit / additional prompt rule</w:t>
            </w:r>
          </w:p>
          <w:p>
            <w:pPr>
              <w:spacing w:line="432"/>
            </w:pPr>
          </w:p>
        </w:tc>
      </w:tr>
    </w:tbl>
    <w:p>
      <w:pPr>
        <w:spacing w:after="20" w:before="0"/>
      </w:pPr>
    </w:p>
    <w:p>
      <w:pPr>
        <w:keepNext/>
        <w:spacing w:after="60" w:before="240"/>
      </w:pPr>
      <w:r>
        <w:rPr>
          <w:b/>
          <w:bCs/>
          <w:sz w:val="22"/>
          <w:szCs w:val="22"/>
        </w:rPr>
        <w:t xml:space="preserve">Opportunities: use explicit response and observation status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11"/>
        <w:gridCol w:w="2220"/>
        <w:gridCol w:w="2114"/>
        <w:gridCol w:w="1163"/>
        <w:gridCol w:w="3848"/>
      </w:tblGrid>
      <w:tr>
        <w:trPr>
          <w:cantSplit/>
          <w:tblHeader/>
        </w:trPr>
        <w:tc>
          <w:tcPr>
            <w:tcW w:type="pct" w:w="12.3015873015873%"/>
            <w:tcBorders>
              <w:top w:val="single" w:color="555555" w:sz="6"/>
              <w:left w:val="single" w:color="555555" w:sz="6"/>
              <w:bottom w:val="single" w:color="555555" w:sz="6"/>
              <w:right w:val="single" w:color="555555" w:sz="6"/>
            </w:tcBorders>
            <w:shd w:fill="EEF0F2" w:color="auto" w:val="clear"/>
          </w:tcPr>
          <w:p>
            <w:r>
              <w:rPr>
                <w:b/>
                <w:bCs/>
                <w:sz w:val="16"/>
                <w:szCs w:val="16"/>
              </w:rPr>
              <w:t xml:space="preserve">Reference</w:t>
            </w:r>
          </w:p>
        </w:tc>
        <w:tc>
          <w:tcPr>
            <w:tcW w:type="pct" w:w="20.833333333333336%"/>
            <w:tcBorders>
              <w:top w:val="single" w:color="555555" w:sz="6"/>
              <w:left w:val="single" w:color="555555" w:sz="6"/>
              <w:bottom w:val="single" w:color="555555" w:sz="6"/>
              <w:right w:val="single" w:color="555555" w:sz="6"/>
            </w:tcBorders>
            <w:shd w:fill="EEF0F2" w:color="auto" w:val="clear"/>
          </w:tcPr>
          <w:p>
            <w:r>
              <w:rPr>
                <w:b/>
                <w:bCs/>
                <w:sz w:val="16"/>
                <w:szCs w:val="16"/>
              </w:rPr>
              <w:t xml:space="preserve">Cue / time</w:t>
            </w:r>
          </w:p>
        </w:tc>
        <w:tc>
          <w:tcPr>
            <w:tcW w:type="pct" w:w="19.841269841269842%"/>
            <w:tcBorders>
              <w:top w:val="single" w:color="555555" w:sz="6"/>
              <w:left w:val="single" w:color="555555" w:sz="6"/>
              <w:bottom w:val="single" w:color="555555" w:sz="6"/>
              <w:right w:val="single" w:color="555555" w:sz="6"/>
            </w:tcBorders>
            <w:shd w:fill="EEF0F2" w:color="auto" w:val="clear"/>
          </w:tcPr>
          <w:p>
            <w:r>
              <w:rPr>
                <w:b/>
                <w:bCs/>
                <w:sz w:val="16"/>
                <w:szCs w:val="16"/>
              </w:rPr>
              <w:t xml:space="preserve">Onset / value</w:t>
            </w:r>
          </w:p>
        </w:tc>
        <w:tc>
          <w:tcPr>
            <w:tcW w:type="pct" w:w="10.912698412698413%"/>
            <w:tcBorders>
              <w:top w:val="single" w:color="555555" w:sz="6"/>
              <w:left w:val="single" w:color="555555" w:sz="6"/>
              <w:bottom w:val="single" w:color="555555" w:sz="6"/>
              <w:right w:val="single" w:color="555555" w:sz="6"/>
            </w:tcBorders>
            <w:shd w:fill="EEF0F2" w:color="auto" w:val="clear"/>
          </w:tcPr>
          <w:p>
            <w:r>
              <w:rPr>
                <w:b/>
                <w:bCs/>
                <w:sz w:val="16"/>
                <w:szCs w:val="16"/>
              </w:rPr>
              <w:t xml:space="preserve">Limit</w:t>
            </w:r>
          </w:p>
        </w:tc>
        <w:tc>
          <w:tcPr>
            <w:tcW w:type="pct" w:w="36.11111111111111%"/>
            <w:tcBorders>
              <w:top w:val="single" w:color="555555" w:sz="6"/>
              <w:left w:val="single" w:color="555555" w:sz="6"/>
              <w:bottom w:val="single" w:color="555555" w:sz="6"/>
              <w:right w:val="single" w:color="555555" w:sz="6"/>
            </w:tcBorders>
            <w:shd w:fill="EEF0F2" w:color="auto" w:val="clear"/>
          </w:tcPr>
          <w:p>
            <w:r>
              <w:rPr>
                <w:b/>
                <w:bCs/>
                <w:sz w:val="16"/>
                <w:szCs w:val="16"/>
              </w:rPr>
              <w:t xml:space="preserve">Status / support / context</w:t>
            </w:r>
          </w:p>
        </w:tc>
      </w:tr>
      <w:tr>
        <w:trPr>
          <w:cantSplit/>
          <w:trHeight w:val="480" w:hRule="atLeast"/>
        </w:trPr>
        <w:tc>
          <w:tcPr>
            <w:tcW w:type="pct" w:w="12.3015873015873%"/>
            <w:tcBorders>
              <w:top w:val="single" w:color="555555" w:sz="6"/>
              <w:left w:val="single" w:color="555555" w:sz="6"/>
              <w:bottom w:val="single" w:color="555555" w:sz="6"/>
              <w:right w:val="single" w:color="555555" w:sz="6"/>
            </w:tcBorders>
          </w:tcPr>
          <w:p/>
        </w:tc>
        <w:tc>
          <w:tcPr>
            <w:tcW w:type="pct" w:w="20.833333333333336%"/>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10.912698412698413%"/>
            <w:tcBorders>
              <w:top w:val="single" w:color="555555" w:sz="6"/>
              <w:left w:val="single" w:color="555555" w:sz="6"/>
              <w:bottom w:val="single" w:color="555555" w:sz="6"/>
              <w:right w:val="single" w:color="555555" w:sz="6"/>
            </w:tcBorders>
          </w:tcPr>
          <w:p/>
        </w:tc>
        <w:tc>
          <w:tcPr>
            <w:tcW w:type="pct" w:w="36.11111111111111%"/>
            <w:tcBorders>
              <w:top w:val="single" w:color="555555" w:sz="6"/>
              <w:left w:val="single" w:color="555555" w:sz="6"/>
              <w:bottom w:val="single" w:color="555555" w:sz="6"/>
              <w:right w:val="single" w:color="555555" w:sz="6"/>
            </w:tcBorders>
          </w:tcPr>
          <w:p/>
        </w:tc>
      </w:tr>
      <w:tr>
        <w:trPr>
          <w:cantSplit/>
          <w:trHeight w:val="480" w:hRule="atLeast"/>
        </w:trPr>
        <w:tc>
          <w:tcPr>
            <w:tcW w:type="pct" w:w="12.3015873015873%"/>
            <w:tcBorders>
              <w:top w:val="single" w:color="555555" w:sz="6"/>
              <w:left w:val="single" w:color="555555" w:sz="6"/>
              <w:bottom w:val="single" w:color="555555" w:sz="6"/>
              <w:right w:val="single" w:color="555555" w:sz="6"/>
            </w:tcBorders>
          </w:tcPr>
          <w:p/>
        </w:tc>
        <w:tc>
          <w:tcPr>
            <w:tcW w:type="pct" w:w="20.833333333333336%"/>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10.912698412698413%"/>
            <w:tcBorders>
              <w:top w:val="single" w:color="555555" w:sz="6"/>
              <w:left w:val="single" w:color="555555" w:sz="6"/>
              <w:bottom w:val="single" w:color="555555" w:sz="6"/>
              <w:right w:val="single" w:color="555555" w:sz="6"/>
            </w:tcBorders>
          </w:tcPr>
          <w:p/>
        </w:tc>
        <w:tc>
          <w:tcPr>
            <w:tcW w:type="pct" w:w="36.11111111111111%"/>
            <w:tcBorders>
              <w:top w:val="single" w:color="555555" w:sz="6"/>
              <w:left w:val="single" w:color="555555" w:sz="6"/>
              <w:bottom w:val="single" w:color="555555" w:sz="6"/>
              <w:right w:val="single" w:color="555555" w:sz="6"/>
            </w:tcBorders>
          </w:tcPr>
          <w:p/>
        </w:tc>
      </w:tr>
      <w:tr>
        <w:trPr>
          <w:cantSplit/>
          <w:trHeight w:val="480" w:hRule="atLeast"/>
        </w:trPr>
        <w:tc>
          <w:tcPr>
            <w:tcW w:type="pct" w:w="12.3015873015873%"/>
            <w:tcBorders>
              <w:top w:val="single" w:color="555555" w:sz="6"/>
              <w:left w:val="single" w:color="555555" w:sz="6"/>
              <w:bottom w:val="single" w:color="555555" w:sz="6"/>
              <w:right w:val="single" w:color="555555" w:sz="6"/>
            </w:tcBorders>
          </w:tcPr>
          <w:p/>
        </w:tc>
        <w:tc>
          <w:tcPr>
            <w:tcW w:type="pct" w:w="20.833333333333336%"/>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10.912698412698413%"/>
            <w:tcBorders>
              <w:top w:val="single" w:color="555555" w:sz="6"/>
              <w:left w:val="single" w:color="555555" w:sz="6"/>
              <w:bottom w:val="single" w:color="555555" w:sz="6"/>
              <w:right w:val="single" w:color="555555" w:sz="6"/>
            </w:tcBorders>
          </w:tcPr>
          <w:p/>
        </w:tc>
        <w:tc>
          <w:tcPr>
            <w:tcW w:type="pct" w:w="36.11111111111111%"/>
            <w:tcBorders>
              <w:top w:val="single" w:color="555555" w:sz="6"/>
              <w:left w:val="single" w:color="555555" w:sz="6"/>
              <w:bottom w:val="single" w:color="555555" w:sz="6"/>
              <w:right w:val="single" w:color="555555" w:sz="6"/>
            </w:tcBorders>
          </w:tcPr>
          <w:p/>
        </w:tc>
      </w:tr>
      <w:tr>
        <w:trPr>
          <w:cantSplit/>
          <w:trHeight w:val="480" w:hRule="atLeast"/>
        </w:trPr>
        <w:tc>
          <w:tcPr>
            <w:tcW w:type="pct" w:w="12.3015873015873%"/>
            <w:tcBorders>
              <w:top w:val="single" w:color="555555" w:sz="6"/>
              <w:left w:val="single" w:color="555555" w:sz="6"/>
              <w:bottom w:val="single" w:color="555555" w:sz="6"/>
              <w:right w:val="single" w:color="555555" w:sz="6"/>
            </w:tcBorders>
          </w:tcPr>
          <w:p/>
        </w:tc>
        <w:tc>
          <w:tcPr>
            <w:tcW w:type="pct" w:w="20.833333333333336%"/>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10.912698412698413%"/>
            <w:tcBorders>
              <w:top w:val="single" w:color="555555" w:sz="6"/>
              <w:left w:val="single" w:color="555555" w:sz="6"/>
              <w:bottom w:val="single" w:color="555555" w:sz="6"/>
              <w:right w:val="single" w:color="555555" w:sz="6"/>
            </w:tcBorders>
          </w:tcPr>
          <w:p/>
        </w:tc>
        <w:tc>
          <w:tcPr>
            <w:tcW w:type="pct" w:w="36.11111111111111%"/>
            <w:tcBorders>
              <w:top w:val="single" w:color="555555" w:sz="6"/>
              <w:left w:val="single" w:color="555555" w:sz="6"/>
              <w:bottom w:val="single" w:color="555555" w:sz="6"/>
              <w:right w:val="single" w:color="555555" w:sz="6"/>
            </w:tcBorders>
          </w:tcPr>
          <w:p/>
        </w:tc>
      </w:tr>
      <w:tr>
        <w:trPr>
          <w:cantSplit/>
          <w:trHeight w:val="480" w:hRule="atLeast"/>
        </w:trPr>
        <w:tc>
          <w:tcPr>
            <w:tcW w:type="pct" w:w="12.3015873015873%"/>
            <w:tcBorders>
              <w:top w:val="single" w:color="555555" w:sz="6"/>
              <w:left w:val="single" w:color="555555" w:sz="6"/>
              <w:bottom w:val="single" w:color="555555" w:sz="6"/>
              <w:right w:val="single" w:color="555555" w:sz="6"/>
            </w:tcBorders>
          </w:tcPr>
          <w:p/>
        </w:tc>
        <w:tc>
          <w:tcPr>
            <w:tcW w:type="pct" w:w="20.833333333333336%"/>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10.912698412698413%"/>
            <w:tcBorders>
              <w:top w:val="single" w:color="555555" w:sz="6"/>
              <w:left w:val="single" w:color="555555" w:sz="6"/>
              <w:bottom w:val="single" w:color="555555" w:sz="6"/>
              <w:right w:val="single" w:color="555555" w:sz="6"/>
            </w:tcBorders>
          </w:tcPr>
          <w:p/>
        </w:tc>
        <w:tc>
          <w:tcPr>
            <w:tcW w:type="pct" w:w="36.11111111111111%"/>
            <w:tcBorders>
              <w:top w:val="single" w:color="555555" w:sz="6"/>
              <w:left w:val="single" w:color="555555" w:sz="6"/>
              <w:bottom w:val="single" w:color="555555" w:sz="6"/>
              <w:right w:val="single" w:color="555555" w:sz="6"/>
            </w:tcBorders>
          </w:tcPr>
          <w:p/>
        </w:tc>
      </w:tr>
      <w:tr>
        <w:trPr>
          <w:cantSplit/>
          <w:trHeight w:val="480" w:hRule="atLeast"/>
        </w:trPr>
        <w:tc>
          <w:tcPr>
            <w:tcW w:type="pct" w:w="12.3015873015873%"/>
            <w:tcBorders>
              <w:top w:val="single" w:color="555555" w:sz="6"/>
              <w:left w:val="single" w:color="555555" w:sz="6"/>
              <w:bottom w:val="single" w:color="555555" w:sz="6"/>
              <w:right w:val="single" w:color="555555" w:sz="6"/>
            </w:tcBorders>
          </w:tcPr>
          <w:p/>
        </w:tc>
        <w:tc>
          <w:tcPr>
            <w:tcW w:type="pct" w:w="20.833333333333336%"/>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10.912698412698413%"/>
            <w:tcBorders>
              <w:top w:val="single" w:color="555555" w:sz="6"/>
              <w:left w:val="single" w:color="555555" w:sz="6"/>
              <w:bottom w:val="single" w:color="555555" w:sz="6"/>
              <w:right w:val="single" w:color="555555" w:sz="6"/>
            </w:tcBorders>
          </w:tcPr>
          <w:p/>
        </w:tc>
        <w:tc>
          <w:tcPr>
            <w:tcW w:type="pct" w:w="36.11111111111111%"/>
            <w:tcBorders>
              <w:top w:val="single" w:color="555555" w:sz="6"/>
              <w:left w:val="single" w:color="555555" w:sz="6"/>
              <w:bottom w:val="single" w:color="555555" w:sz="6"/>
              <w:right w:val="single" w:color="555555" w:sz="6"/>
            </w:tcBorders>
          </w:tcPr>
          <w:p/>
        </w:tc>
      </w:tr>
    </w:tbl>
    <w:p>
      <w:pPr>
        <w:spacing w:after="60"/>
      </w:pPr>
    </w:p>
    <w:p>
      <w:pPr>
        <w:spacing w:after="100" w:before="100"/>
      </w:pPr>
      <w:r>
        <w:rPr>
          <w:color w:val="333333"/>
          <w:sz w:val="17"/>
          <w:szCs w:val="17"/>
        </w:rPr>
        <w:t xml:space="preserve">Response observed, no response within limit, declined before opportunity, and not observed are distinct. Leave exact latency blank when onset was not observed; do not replace a limit or missing record with zero.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Observed response summary / valid denominator</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No-response limits / missing records / clinician review</w:t>
            </w:r>
          </w:p>
          <w:p>
            <w:pPr>
              <w:spacing w:line="432"/>
            </w:pPr>
          </w:p>
        </w:tc>
      </w:tr>
    </w:tbl>
    <w:p>
      <w:pPr>
        <w:spacing w:after="20" w:before="0"/>
      </w:pP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therapycrm.io/guides/aba-duration-and-latency-data-sheets</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Duration and latency observation pack</w:t>
    </w:r>
  </w:p>
  <w:p>
    <w:r>
      <w:rPr>
        <w:color w:val="333333"/>
        <w:sz w:val="16"/>
        <w:szCs w:val="16"/>
      </w:rPr>
      <w:t xml:space="preserve">Client reference: __________________     Date / observation reference: __________________</w:t>
    </w:r>
  </w:p>
  <w:p>
    <w:r>
      <w:rPr>
        <w:color w:val="333333"/>
        <w:sz w:val="16"/>
        <w:szCs w:val="16"/>
      </w:rPr>
      <w:t xml:space="preserve">Recorder: __________________     Definition / plan version: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Duration and latency observation pack</dc:title>
  <dc:creator>TherapyCRM</dc:creator>
  <dc:description>Separate event-time and cue-to-onset records; state the valid window and missing observations.</dc:description>
  <cp:lastModifiedBy>Un-named</cp:lastModifiedBy>
  <cp:revision>1</cp:revision>
  <dcterms:created xsi:type="dcterms:W3CDTF">2026-10-10T07:14:00.970Z</dcterms:created>
  <dcterms:modified xsi:type="dcterms:W3CDTF">2026-10-10T07:14:00.975Z</dcterms:modified>
</cp:coreProperties>
</file>

<file path=docProps/custom.xml><?xml version="1.0" encoding="utf-8"?>
<Properties xmlns="http://schemas.openxmlformats.org/officeDocument/2006/custom-properties" xmlns:vt="http://schemas.openxmlformats.org/officeDocument/2006/docPropsVTypes"/>
</file>