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left"/>
      </w:pPr>
      <w:r>
        <w:rPr>
          <w:b/>
          <w:bCs/>
          <w:color w:val="000000"/>
          <w:sz w:val="34"/>
          <w:szCs w:val="34"/>
        </w:rPr>
        <w:t xml:space="preserve">Caregiver and communication opportunity records</w:t>
      </w:r>
    </w:p>
    <w:p>
      <w:pPr>
        <w:spacing w:after="160"/>
      </w:pPr>
      <w:r>
        <w:rPr>
          <w:color w:val="444444"/>
          <w:sz w:val="18"/>
          <w:szCs w:val="18"/>
        </w:rPr>
        <w:t xml:space="preserve">Shared priorities, observed practice, reports and everyday opportunities remain separate.</w:t>
      </w:r>
    </w:p>
    <w:p>
      <w:pPr>
        <w:keepNext/>
        <w:spacing w:after="60" w:before="240"/>
      </w:pPr>
      <w:r>
        <w:rPr>
          <w:b/>
          <w:bCs/>
          <w:sz w:val="22"/>
          <w:szCs w:val="22"/>
        </w:rPr>
        <w:t xml:space="preserve">Caregiver coaching note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Family and learner priority / existing plan reference</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Consent / communication / participation and pause arrangements</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Discussion or demonstration / source</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Practice directly observed / support given</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Caregiver reports / questions / feasibility barriers</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Agreed optional home record / next review / clinician</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Review status / source record references</w:t>
            </w:r>
          </w:p>
          <w:p>
            <w:pPr>
              <w:spacing w:line="432"/>
            </w:pPr>
          </w:p>
        </w:tc>
      </w:tr>
    </w:tbl>
    <w:p>
      <w:pPr>
        <w:spacing w:after="20" w:before="0"/>
      </w:pPr>
    </w:p>
    <w:p>
      <w:pPr>
        <w:spacing w:after="100" w:before="100"/>
      </w:pPr>
      <w:r>
        <w:rPr>
          <w:color w:val="333333"/>
          <w:sz w:val="17"/>
          <w:szCs w:val="17"/>
        </w:rPr>
        <w:t xml:space="preserve">No home-treatment protocol or caregiver competency decision is supplied. A missing report does not establish nonadherence.</w:t>
      </w:r>
    </w:p>
    <w:p>
      <w:pPr>
        <w:keepNext/>
        <w:pageBreakBefore/>
        <w:spacing w:after="60" w:before="240"/>
      </w:pPr>
      <w:r>
        <w:rPr>
          <w:b/>
          <w:bCs/>
          <w:sz w:val="22"/>
          <w:szCs w:val="22"/>
        </w:rPr>
        <w:t xml:space="preserve">Naturalistic or approved FCT communication opportunities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Routine / response definition / plan reference</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Valid opportunity, support and participation rules</w:t>
            </w:r>
          </w:p>
          <w:p>
            <w:pPr>
              <w:spacing w:line="432"/>
            </w:pPr>
          </w:p>
        </w:tc>
      </w:tr>
    </w:tbl>
    <w:p>
      <w:pPr>
        <w:spacing w:after="20" w:before="0"/>
      </w:pPr>
    </w:p>
    <w:p>
      <w:pPr>
        <w:keepNext/>
        <w:spacing w:after="60" w:before="240"/>
      </w:pPr>
      <w:r>
        <w:rPr>
          <w:b/>
          <w:bCs/>
          <w:sz w:val="22"/>
          <w:szCs w:val="22"/>
        </w:rPr>
        <w:t xml:space="preserve">Record every planned opportunity and its source</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14"/>
        <w:gridCol w:w="2114"/>
        <w:gridCol w:w="2643"/>
        <w:gridCol w:w="3785"/>
      </w:tblGrid>
      <w:tr>
        <w:trPr>
          <w:cantSplit/>
          <w:tblHeader/>
        </w:trPr>
        <w:tc>
          <w:tcPr>
            <w:tcW w:type="pct" w:w="19.841269841269842%"/>
            <w:tcBorders>
              <w:top w:val="single" w:color="555555" w:sz="6"/>
              <w:left w:val="single" w:color="555555" w:sz="6"/>
              <w:bottom w:val="single" w:color="555555" w:sz="6"/>
              <w:right w:val="single" w:color="555555" w:sz="6"/>
            </w:tcBorders>
            <w:shd w:fill="EEF0F2" w:color="auto" w:val="clear"/>
          </w:tcPr>
          <w:p>
            <w:r>
              <w:rPr>
                <w:b/>
                <w:bCs/>
                <w:sz w:val="16"/>
                <w:szCs w:val="16"/>
              </w:rPr>
              <w:t xml:space="preserve">Reference / source</w:t>
            </w:r>
          </w:p>
        </w:tc>
        <w:tc>
          <w:tcPr>
            <w:tcW w:type="pct" w:w="19.841269841269842%"/>
            <w:tcBorders>
              <w:top w:val="single" w:color="555555" w:sz="6"/>
              <w:left w:val="single" w:color="555555" w:sz="6"/>
              <w:bottom w:val="single" w:color="555555" w:sz="6"/>
              <w:right w:val="single" w:color="555555" w:sz="6"/>
            </w:tcBorders>
            <w:shd w:fill="EEF0F2" w:color="auto" w:val="clear"/>
          </w:tcPr>
          <w:p>
            <w:r>
              <w:rPr>
                <w:b/>
                <w:bCs/>
                <w:sz w:val="16"/>
                <w:szCs w:val="16"/>
              </w:rPr>
              <w:t xml:space="preserve">Routine</w:t>
            </w:r>
          </w:p>
        </w:tc>
        <w:tc>
          <w:tcPr>
            <w:tcW w:type="pct" w:w="24.801587301587304%"/>
            <w:tcBorders>
              <w:top w:val="single" w:color="555555" w:sz="6"/>
              <w:left w:val="single" w:color="555555" w:sz="6"/>
              <w:bottom w:val="single" w:color="555555" w:sz="6"/>
              <w:right w:val="single" w:color="555555" w:sz="6"/>
            </w:tcBorders>
            <w:shd w:fill="EEF0F2" w:color="auto" w:val="clear"/>
          </w:tcPr>
          <w:p>
            <w:r>
              <w:rPr>
                <w:b/>
                <w:bCs/>
                <w:sz w:val="16"/>
                <w:szCs w:val="16"/>
              </w:rPr>
              <w:t xml:space="preserve">Response / prompt</w:t>
            </w:r>
          </w:p>
        </w:tc>
        <w:tc>
          <w:tcPr>
            <w:tcW w:type="pct" w:w="35.51587301587302%"/>
            <w:tcBorders>
              <w:top w:val="single" w:color="555555" w:sz="6"/>
              <w:left w:val="single" w:color="555555" w:sz="6"/>
              <w:bottom w:val="single" w:color="555555" w:sz="6"/>
              <w:right w:val="single" w:color="555555" w:sz="6"/>
            </w:tcBorders>
            <w:shd w:fill="EEF0F2" w:color="auto" w:val="clear"/>
          </w:tcPr>
          <w:p>
            <w:r>
              <w:rPr>
                <w:b/>
                <w:bCs/>
                <w:sz w:val="16"/>
                <w:szCs w:val="16"/>
              </w:rPr>
              <w:t xml:space="preserve">Participation / status / outcome</w:t>
            </w:r>
          </w:p>
        </w:tc>
      </w:tr>
      <w:tr>
        <w:trPr>
          <w:cantSplit/>
          <w:trHeight w:val="480" w:hRule="atLeast"/>
        </w:trPr>
        <w:tc>
          <w:tcPr>
            <w:tcW w:type="pct" w:w="19.841269841269842%"/>
            <w:tcBorders>
              <w:top w:val="single" w:color="555555" w:sz="6"/>
              <w:left w:val="single" w:color="555555" w:sz="6"/>
              <w:bottom w:val="single" w:color="555555" w:sz="6"/>
              <w:right w:val="single" w:color="555555" w:sz="6"/>
            </w:tcBorders>
          </w:tcPr>
          <w:p/>
        </w:tc>
        <w:tc>
          <w:tcPr>
            <w:tcW w:type="pct" w:w="19.841269841269842%"/>
            <w:tcBorders>
              <w:top w:val="single" w:color="555555" w:sz="6"/>
              <w:left w:val="single" w:color="555555" w:sz="6"/>
              <w:bottom w:val="single" w:color="555555" w:sz="6"/>
              <w:right w:val="single" w:color="555555" w:sz="6"/>
            </w:tcBorders>
          </w:tcPr>
          <w:p/>
        </w:tc>
        <w:tc>
          <w:tcPr>
            <w:tcW w:type="pct" w:w="24.801587301587304%"/>
            <w:tcBorders>
              <w:top w:val="single" w:color="555555" w:sz="6"/>
              <w:left w:val="single" w:color="555555" w:sz="6"/>
              <w:bottom w:val="single" w:color="555555" w:sz="6"/>
              <w:right w:val="single" w:color="555555" w:sz="6"/>
            </w:tcBorders>
          </w:tcPr>
          <w:p/>
        </w:tc>
        <w:tc>
          <w:tcPr>
            <w:tcW w:type="pct" w:w="35.51587301587302%"/>
            <w:tcBorders>
              <w:top w:val="single" w:color="555555" w:sz="6"/>
              <w:left w:val="single" w:color="555555" w:sz="6"/>
              <w:bottom w:val="single" w:color="555555" w:sz="6"/>
              <w:right w:val="single" w:color="555555" w:sz="6"/>
            </w:tcBorders>
          </w:tcPr>
          <w:p/>
        </w:tc>
      </w:tr>
      <w:tr>
        <w:trPr>
          <w:cantSplit/>
          <w:trHeight w:val="480" w:hRule="atLeast"/>
        </w:trPr>
        <w:tc>
          <w:tcPr>
            <w:tcW w:type="pct" w:w="19.841269841269842%"/>
            <w:tcBorders>
              <w:top w:val="single" w:color="555555" w:sz="6"/>
              <w:left w:val="single" w:color="555555" w:sz="6"/>
              <w:bottom w:val="single" w:color="555555" w:sz="6"/>
              <w:right w:val="single" w:color="555555" w:sz="6"/>
            </w:tcBorders>
          </w:tcPr>
          <w:p/>
        </w:tc>
        <w:tc>
          <w:tcPr>
            <w:tcW w:type="pct" w:w="19.841269841269842%"/>
            <w:tcBorders>
              <w:top w:val="single" w:color="555555" w:sz="6"/>
              <w:left w:val="single" w:color="555555" w:sz="6"/>
              <w:bottom w:val="single" w:color="555555" w:sz="6"/>
              <w:right w:val="single" w:color="555555" w:sz="6"/>
            </w:tcBorders>
          </w:tcPr>
          <w:p/>
        </w:tc>
        <w:tc>
          <w:tcPr>
            <w:tcW w:type="pct" w:w="24.801587301587304%"/>
            <w:tcBorders>
              <w:top w:val="single" w:color="555555" w:sz="6"/>
              <w:left w:val="single" w:color="555555" w:sz="6"/>
              <w:bottom w:val="single" w:color="555555" w:sz="6"/>
              <w:right w:val="single" w:color="555555" w:sz="6"/>
            </w:tcBorders>
          </w:tcPr>
          <w:p/>
        </w:tc>
        <w:tc>
          <w:tcPr>
            <w:tcW w:type="pct" w:w="35.51587301587302%"/>
            <w:tcBorders>
              <w:top w:val="single" w:color="555555" w:sz="6"/>
              <w:left w:val="single" w:color="555555" w:sz="6"/>
              <w:bottom w:val="single" w:color="555555" w:sz="6"/>
              <w:right w:val="single" w:color="555555" w:sz="6"/>
            </w:tcBorders>
          </w:tcPr>
          <w:p/>
        </w:tc>
      </w:tr>
      <w:tr>
        <w:trPr>
          <w:cantSplit/>
          <w:trHeight w:val="480" w:hRule="atLeast"/>
        </w:trPr>
        <w:tc>
          <w:tcPr>
            <w:tcW w:type="pct" w:w="19.841269841269842%"/>
            <w:tcBorders>
              <w:top w:val="single" w:color="555555" w:sz="6"/>
              <w:left w:val="single" w:color="555555" w:sz="6"/>
              <w:bottom w:val="single" w:color="555555" w:sz="6"/>
              <w:right w:val="single" w:color="555555" w:sz="6"/>
            </w:tcBorders>
          </w:tcPr>
          <w:p/>
        </w:tc>
        <w:tc>
          <w:tcPr>
            <w:tcW w:type="pct" w:w="19.841269841269842%"/>
            <w:tcBorders>
              <w:top w:val="single" w:color="555555" w:sz="6"/>
              <w:left w:val="single" w:color="555555" w:sz="6"/>
              <w:bottom w:val="single" w:color="555555" w:sz="6"/>
              <w:right w:val="single" w:color="555555" w:sz="6"/>
            </w:tcBorders>
          </w:tcPr>
          <w:p/>
        </w:tc>
        <w:tc>
          <w:tcPr>
            <w:tcW w:type="pct" w:w="24.801587301587304%"/>
            <w:tcBorders>
              <w:top w:val="single" w:color="555555" w:sz="6"/>
              <w:left w:val="single" w:color="555555" w:sz="6"/>
              <w:bottom w:val="single" w:color="555555" w:sz="6"/>
              <w:right w:val="single" w:color="555555" w:sz="6"/>
            </w:tcBorders>
          </w:tcPr>
          <w:p/>
        </w:tc>
        <w:tc>
          <w:tcPr>
            <w:tcW w:type="pct" w:w="35.51587301587302%"/>
            <w:tcBorders>
              <w:top w:val="single" w:color="555555" w:sz="6"/>
              <w:left w:val="single" w:color="555555" w:sz="6"/>
              <w:bottom w:val="single" w:color="555555" w:sz="6"/>
              <w:right w:val="single" w:color="555555" w:sz="6"/>
            </w:tcBorders>
          </w:tcPr>
          <w:p/>
        </w:tc>
      </w:tr>
      <w:tr>
        <w:trPr>
          <w:cantSplit/>
          <w:trHeight w:val="480" w:hRule="atLeast"/>
        </w:trPr>
        <w:tc>
          <w:tcPr>
            <w:tcW w:type="pct" w:w="19.841269841269842%"/>
            <w:tcBorders>
              <w:top w:val="single" w:color="555555" w:sz="6"/>
              <w:left w:val="single" w:color="555555" w:sz="6"/>
              <w:bottom w:val="single" w:color="555555" w:sz="6"/>
              <w:right w:val="single" w:color="555555" w:sz="6"/>
            </w:tcBorders>
          </w:tcPr>
          <w:p/>
        </w:tc>
        <w:tc>
          <w:tcPr>
            <w:tcW w:type="pct" w:w="19.841269841269842%"/>
            <w:tcBorders>
              <w:top w:val="single" w:color="555555" w:sz="6"/>
              <w:left w:val="single" w:color="555555" w:sz="6"/>
              <w:bottom w:val="single" w:color="555555" w:sz="6"/>
              <w:right w:val="single" w:color="555555" w:sz="6"/>
            </w:tcBorders>
          </w:tcPr>
          <w:p/>
        </w:tc>
        <w:tc>
          <w:tcPr>
            <w:tcW w:type="pct" w:w="24.801587301587304%"/>
            <w:tcBorders>
              <w:top w:val="single" w:color="555555" w:sz="6"/>
              <w:left w:val="single" w:color="555555" w:sz="6"/>
              <w:bottom w:val="single" w:color="555555" w:sz="6"/>
              <w:right w:val="single" w:color="555555" w:sz="6"/>
            </w:tcBorders>
          </w:tcPr>
          <w:p/>
        </w:tc>
        <w:tc>
          <w:tcPr>
            <w:tcW w:type="pct" w:w="35.51587301587302%"/>
            <w:tcBorders>
              <w:top w:val="single" w:color="555555" w:sz="6"/>
              <w:left w:val="single" w:color="555555" w:sz="6"/>
              <w:bottom w:val="single" w:color="555555" w:sz="6"/>
              <w:right w:val="single" w:color="555555" w:sz="6"/>
            </w:tcBorders>
          </w:tcPr>
          <w:p/>
        </w:tc>
      </w:tr>
      <w:tr>
        <w:trPr>
          <w:cantSplit/>
          <w:trHeight w:val="480" w:hRule="atLeast"/>
        </w:trPr>
        <w:tc>
          <w:tcPr>
            <w:tcW w:type="pct" w:w="19.841269841269842%"/>
            <w:tcBorders>
              <w:top w:val="single" w:color="555555" w:sz="6"/>
              <w:left w:val="single" w:color="555555" w:sz="6"/>
              <w:bottom w:val="single" w:color="555555" w:sz="6"/>
              <w:right w:val="single" w:color="555555" w:sz="6"/>
            </w:tcBorders>
          </w:tcPr>
          <w:p/>
        </w:tc>
        <w:tc>
          <w:tcPr>
            <w:tcW w:type="pct" w:w="19.841269841269842%"/>
            <w:tcBorders>
              <w:top w:val="single" w:color="555555" w:sz="6"/>
              <w:left w:val="single" w:color="555555" w:sz="6"/>
              <w:bottom w:val="single" w:color="555555" w:sz="6"/>
              <w:right w:val="single" w:color="555555" w:sz="6"/>
            </w:tcBorders>
          </w:tcPr>
          <w:p/>
        </w:tc>
        <w:tc>
          <w:tcPr>
            <w:tcW w:type="pct" w:w="24.801587301587304%"/>
            <w:tcBorders>
              <w:top w:val="single" w:color="555555" w:sz="6"/>
              <w:left w:val="single" w:color="555555" w:sz="6"/>
              <w:bottom w:val="single" w:color="555555" w:sz="6"/>
              <w:right w:val="single" w:color="555555" w:sz="6"/>
            </w:tcBorders>
          </w:tcPr>
          <w:p/>
        </w:tc>
        <w:tc>
          <w:tcPr>
            <w:tcW w:type="pct" w:w="35.51587301587302%"/>
            <w:tcBorders>
              <w:top w:val="single" w:color="555555" w:sz="6"/>
              <w:left w:val="single" w:color="555555" w:sz="6"/>
              <w:bottom w:val="single" w:color="555555" w:sz="6"/>
              <w:right w:val="single" w:color="555555" w:sz="6"/>
            </w:tcBorders>
          </w:tcPr>
          <w:p/>
        </w:tc>
      </w:tr>
      <w:tr>
        <w:trPr>
          <w:cantSplit/>
          <w:trHeight w:val="480" w:hRule="atLeast"/>
        </w:trPr>
        <w:tc>
          <w:tcPr>
            <w:tcW w:type="pct" w:w="19.841269841269842%"/>
            <w:tcBorders>
              <w:top w:val="single" w:color="555555" w:sz="6"/>
              <w:left w:val="single" w:color="555555" w:sz="6"/>
              <w:bottom w:val="single" w:color="555555" w:sz="6"/>
              <w:right w:val="single" w:color="555555" w:sz="6"/>
            </w:tcBorders>
          </w:tcPr>
          <w:p/>
        </w:tc>
        <w:tc>
          <w:tcPr>
            <w:tcW w:type="pct" w:w="19.841269841269842%"/>
            <w:tcBorders>
              <w:top w:val="single" w:color="555555" w:sz="6"/>
              <w:left w:val="single" w:color="555555" w:sz="6"/>
              <w:bottom w:val="single" w:color="555555" w:sz="6"/>
              <w:right w:val="single" w:color="555555" w:sz="6"/>
            </w:tcBorders>
          </w:tcPr>
          <w:p/>
        </w:tc>
        <w:tc>
          <w:tcPr>
            <w:tcW w:type="pct" w:w="24.801587301587304%"/>
            <w:tcBorders>
              <w:top w:val="single" w:color="555555" w:sz="6"/>
              <w:left w:val="single" w:color="555555" w:sz="6"/>
              <w:bottom w:val="single" w:color="555555" w:sz="6"/>
              <w:right w:val="single" w:color="555555" w:sz="6"/>
            </w:tcBorders>
          </w:tcPr>
          <w:p/>
        </w:tc>
        <w:tc>
          <w:tcPr>
            <w:tcW w:type="pct" w:w="35.51587301587302%"/>
            <w:tcBorders>
              <w:top w:val="single" w:color="555555" w:sz="6"/>
              <w:left w:val="single" w:color="555555" w:sz="6"/>
              <w:bottom w:val="single" w:color="555555" w:sz="6"/>
              <w:right w:val="single" w:color="555555" w:sz="6"/>
            </w:tcBorders>
          </w:tcPr>
          <w:p/>
        </w:tc>
      </w:tr>
    </w:tbl>
    <w:p>
      <w:pPr>
        <w:spacing w:after="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Independent / assisted / other valid observed outcomes</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Declined / no opportunity / missing reports / denominator</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Family questions / clinician review decision</w:t>
            </w:r>
          </w:p>
          <w:p>
            <w:pPr>
              <w:spacing w:line="432"/>
            </w:pPr>
          </w:p>
        </w:tc>
      </w:tr>
    </w:tbl>
    <w:p>
      <w:pPr>
        <w:spacing w:after="20" w:before="0"/>
      </w:pPr>
    </w:p>
    <w:sectPr>
      <w:headerReference w:type="default" r:id="rId7"/>
      <w:footerReference w:type="default" r:id="rId8"/>
      <w:pgSz w:w="12240" w:h="15840" w:orient="portrait"/>
      <w:pgMar w:top="1224" w:right="792" w:bottom="936" w:left="792" w:header="360"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55555"/>
        <w:sz w:val="14"/>
        <w:szCs w:val="14"/>
      </w:rPr>
      <w:t xml:space="preserve">Blank template from TherapyCRM. Adapt it to your clinic’s own policy and professional judgment. It is not clinical, legal or regulatory advice and does not claim to meet any payer, regulator or certification-body requirement. therapycrm.io/guides/aba-caregiver-fct-naturalistic-records</w:t>
    </w:r>
    <w:r>
      <w:rPr>
        <w:sz w:val="14"/>
        <w:szCs w:val="14"/>
      </w:rPr>
      <w:t xml:space="preserve">  Page </w:t>
    </w:r>
    <w:r>
      <w:rPr>
        <w:sz w:val="14"/>
        <w:szCs w:val="14"/>
      </w:rPr>
      <w:fldChar w:fldCharType="begin"/>
      <w:instrText xml:space="preserve">PAGE</w:instrText>
      <w:fldChar w:fldCharType="separate"/>
      <w:fldChar w:fldCharType="end"/>
    </w:r>
    <w:r>
      <w:rPr>
        <w:sz w:val="14"/>
        <w:szCs w:val="14"/>
      </w:rPr>
      <w:t xml:space="preserve"> of </w:t>
    </w:r>
    <w:r>
      <w:rPr>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color w:val="333333"/>
        <w:sz w:val="16"/>
        <w:szCs w:val="16"/>
      </w:rPr>
      <w:t xml:space="preserve">Caregiver and communication opportunity records</w:t>
    </w:r>
  </w:p>
  <w:p>
    <w:r>
      <w:rPr>
        <w:color w:val="333333"/>
        <w:sz w:val="16"/>
        <w:szCs w:val="16"/>
      </w:rPr>
      <w:t xml:space="preserve">Client reference: __________________     Date / observation reference: __________________</w:t>
    </w:r>
  </w:p>
  <w:p>
    <w:r>
      <w:rPr>
        <w:color w:val="333333"/>
        <w:sz w:val="16"/>
        <w:szCs w:val="16"/>
      </w:rPr>
      <w:t xml:space="preserve">Recorder: __________________     Definition / plan version: 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Caregiver and communication opportunity records</dc:title>
  <dc:creator>TherapyCRM</dc:creator>
  <dc:description>Shared priorities, observed practice, reports and everyday opportunities remain separate.</dc:description>
  <cp:lastModifiedBy>Un-named</cp:lastModifiedBy>
  <cp:revision>1</cp:revision>
  <dcterms:created xsi:type="dcterms:W3CDTF">2026-10-10T07:14:12.295Z</dcterms:created>
  <dcterms:modified xsi:type="dcterms:W3CDTF">2026-10-10T07:14:12.296Z</dcterms:modified>
</cp:coreProperties>
</file>

<file path=docProps/custom.xml><?xml version="1.0" encoding="utf-8"?>
<Properties xmlns="http://schemas.openxmlformats.org/officeDocument/2006/custom-properties" xmlns:vt="http://schemas.openxmlformats.org/officeDocument/2006/docPropsVTypes"/>
</file>